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4A0" w:firstRow="1" w:lastRow="0" w:firstColumn="1" w:lastColumn="0" w:noHBand="0" w:noVBand="1"/>
      </w:tblPr>
      <w:tblGrid>
        <w:gridCol w:w="4792"/>
        <w:gridCol w:w="4671"/>
      </w:tblGrid>
      <w:tr w:rsidR="001079C2" w:rsidTr="0016598E">
        <w:trPr>
          <w:trHeight w:val="1"/>
        </w:trPr>
        <w:tc>
          <w:tcPr>
            <w:tcW w:w="47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079C2" w:rsidRDefault="001079C2">
            <w:pPr>
              <w:spacing w:after="0" w:line="240" w:lineRule="auto"/>
              <w:jc w:val="right"/>
              <w:rPr>
                <w:rFonts w:ascii="Calibri" w:eastAsia="Calibri" w:hAnsi="Calibri" w:cs="Calibri"/>
              </w:rPr>
            </w:pPr>
          </w:p>
        </w:tc>
        <w:tc>
          <w:tcPr>
            <w:tcW w:w="46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079C2" w:rsidRPr="00E6152F" w:rsidRDefault="00464635">
            <w:pPr>
              <w:spacing w:after="0" w:line="240" w:lineRule="auto"/>
              <w:rPr>
                <w:rFonts w:ascii="Times New Roman" w:eastAsia="Times New Roman" w:hAnsi="Times New Roman" w:cs="Times New Roman"/>
                <w:sz w:val="24"/>
              </w:rPr>
            </w:pPr>
            <w:r w:rsidRPr="00E6152F">
              <w:rPr>
                <w:rFonts w:ascii="Times New Roman" w:eastAsia="Times New Roman" w:hAnsi="Times New Roman" w:cs="Times New Roman"/>
                <w:sz w:val="24"/>
              </w:rPr>
              <w:t>Приложение № 3</w:t>
            </w:r>
          </w:p>
          <w:p w:rsidR="001079C2" w:rsidRPr="00E6152F" w:rsidRDefault="00E6152F">
            <w:pPr>
              <w:spacing w:after="0" w:line="240" w:lineRule="auto"/>
              <w:rPr>
                <w:rFonts w:ascii="Times New Roman" w:hAnsi="Times New Roman" w:cs="Times New Roman"/>
              </w:rPr>
            </w:pPr>
            <w:r w:rsidRPr="00E6152F">
              <w:rPr>
                <w:rFonts w:ascii="Times New Roman" w:hAnsi="Times New Roman" w:cs="Times New Roman"/>
                <w:bCs/>
                <w:sz w:val="24"/>
                <w:szCs w:val="24"/>
              </w:rPr>
              <w:t xml:space="preserve">к информационному сообщению о проведении продажи имущества </w:t>
            </w:r>
            <w:r w:rsidR="00CB44FC">
              <w:rPr>
                <w:rFonts w:ascii="Times New Roman" w:hAnsi="Times New Roman" w:cs="Times New Roman"/>
                <w:bCs/>
                <w:sz w:val="24"/>
                <w:szCs w:val="24"/>
              </w:rPr>
              <w:t xml:space="preserve">Сандогорского сельского поселения </w:t>
            </w:r>
            <w:bookmarkStart w:id="0" w:name="_GoBack"/>
            <w:bookmarkEnd w:id="0"/>
            <w:r w:rsidRPr="00E6152F">
              <w:rPr>
                <w:rFonts w:ascii="Times New Roman" w:hAnsi="Times New Roman" w:cs="Times New Roman"/>
                <w:bCs/>
                <w:sz w:val="24"/>
                <w:szCs w:val="24"/>
              </w:rPr>
              <w:t>Костромского муниципального района на аукционе в электронной форме</w:t>
            </w:r>
          </w:p>
        </w:tc>
      </w:tr>
      <w:tr w:rsidR="001079C2" w:rsidTr="0016598E">
        <w:trPr>
          <w:trHeight w:val="1"/>
        </w:trPr>
        <w:tc>
          <w:tcPr>
            <w:tcW w:w="47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079C2" w:rsidRDefault="001079C2">
            <w:pPr>
              <w:spacing w:after="0" w:line="240" w:lineRule="auto"/>
              <w:jc w:val="both"/>
              <w:rPr>
                <w:rFonts w:ascii="Calibri" w:eastAsia="Calibri" w:hAnsi="Calibri" w:cs="Calibri"/>
              </w:rPr>
            </w:pPr>
          </w:p>
        </w:tc>
        <w:tc>
          <w:tcPr>
            <w:tcW w:w="46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079C2" w:rsidRDefault="001079C2">
            <w:pPr>
              <w:spacing w:after="0" w:line="240" w:lineRule="auto"/>
              <w:ind w:left="498"/>
              <w:jc w:val="both"/>
              <w:rPr>
                <w:rFonts w:ascii="Times New Roman" w:eastAsia="Times New Roman" w:hAnsi="Times New Roman" w:cs="Times New Roman"/>
                <w:sz w:val="24"/>
              </w:rPr>
            </w:pPr>
          </w:p>
          <w:p w:rsidR="001079C2" w:rsidRDefault="00464635" w:rsidP="0016598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Утверждено Приказом </w:t>
            </w:r>
          </w:p>
          <w:p w:rsidR="001079C2" w:rsidRDefault="00464635" w:rsidP="0016598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Генерального директора  </w:t>
            </w:r>
          </w:p>
          <w:p w:rsidR="001079C2" w:rsidRDefault="00464635" w:rsidP="0016598E">
            <w:pPr>
              <w:spacing w:after="0" w:line="240" w:lineRule="auto"/>
              <w:jc w:val="both"/>
            </w:pPr>
            <w:r>
              <w:rPr>
                <w:rFonts w:ascii="Times New Roman" w:eastAsia="Times New Roman" w:hAnsi="Times New Roman" w:cs="Times New Roman"/>
                <w:sz w:val="24"/>
              </w:rPr>
              <w:t>ООО «РТС-тендер»  № 16/П-19 от 30.05.2019г.</w:t>
            </w:r>
          </w:p>
        </w:tc>
      </w:tr>
    </w:tbl>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b/>
          <w:sz w:val="24"/>
        </w:rPr>
      </w:pPr>
    </w:p>
    <w:p w:rsidR="001079C2" w:rsidRDefault="0046463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СОГЛАШЕНИЕ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 гарантийном обеспечении на электронной площадке «РТС-тендер»</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Имущественные торги</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Настоящее Соглашение имеет силу для лиц, присоединившихся к нему в установленном порядке.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Термины и определения</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178-ФЗ, Закон 178-ФЗ</w:t>
      </w:r>
      <w:r>
        <w:rPr>
          <w:rFonts w:ascii="Times New Roman" w:eastAsia="Times New Roman" w:hAnsi="Times New Roman" w:cs="Times New Roman"/>
          <w:sz w:val="24"/>
        </w:rPr>
        <w:t xml:space="preserve"> – Федеральный закон от 21.12.2001  № 178-ФЗ «О приватизации государственного и муниципального имущества». Аккредитованный удостоверяющий центр – прошедшее аккредитацию в уполномоченном федеральном органе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 63-ФЗ «Об электронной подписи». </w:t>
      </w:r>
      <w:r>
        <w:rPr>
          <w:rFonts w:ascii="Times New Roman" w:eastAsia="Times New Roman" w:hAnsi="Times New Roman" w:cs="Times New Roman"/>
          <w:b/>
          <w:sz w:val="24"/>
        </w:rPr>
        <w:t>Аналитический счёт Претендента/Участника (далее также «Аналитический счёт»)</w:t>
      </w:r>
      <w:r>
        <w:rPr>
          <w:rFonts w:ascii="Times New Roman" w:eastAsia="Times New Roman" w:hAnsi="Times New Roman" w:cs="Times New Roman"/>
          <w:sz w:val="24"/>
        </w:rPr>
        <w:t xml:space="preserve"> - аналитический счет, организованный в электронном виде у Оператора при подписании Претендентом настоящего Соглашения, на котором учитываются такие операции, как зачисление денежных средств, их блокирование/прекращение блокирования, а также различного рода списания.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Аренда (далее также - процедура Аренды)</w:t>
      </w:r>
      <w:r>
        <w:rPr>
          <w:rFonts w:ascii="Times New Roman" w:eastAsia="Times New Roman" w:hAnsi="Times New Roman" w:cs="Times New Roman"/>
          <w:sz w:val="24"/>
        </w:rPr>
        <w:t xml:space="preserve"> – передача в аренду, безвозмездное пользование, доверительное управление государственного или муниципального имущества, земельных участков, а равно торги и сама процедура проведения таких торгов в электронной форме для определения победителя Аренды. </w:t>
      </w:r>
    </w:p>
    <w:p w:rsidR="001079C2" w:rsidRDefault="00464635">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Арендодатель</w:t>
      </w:r>
      <w:r>
        <w:rPr>
          <w:rFonts w:ascii="Times New Roman" w:eastAsia="Times New Roman" w:hAnsi="Times New Roman" w:cs="Times New Roman"/>
          <w:sz w:val="24"/>
        </w:rPr>
        <w:t xml:space="preserve"> – федеральный орган исполнительной власти, орган исполнительной власти субъекта России или орган местного самоуправления, а равно их представитель – юридическое лицо, государственное унитарное предприятие, муниципальное унитарное предприятие, – опубликовавшие информационное сообщение о проведении аукциона в рамках Приказа № 67 или в соответствии с Законодательством, регулирующим земельные отношения, присоединившийся к и Регламенту и Соглашению о гарантийном обеспечении в установленном порядке. </w:t>
      </w:r>
      <w:proofErr w:type="gramEnd"/>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Блокирование средств Гарантийного обеспечения (Блокирование)</w:t>
      </w:r>
      <w:r>
        <w:rPr>
          <w:rFonts w:ascii="Times New Roman" w:eastAsia="Times New Roman" w:hAnsi="Times New Roman" w:cs="Times New Roman"/>
          <w:sz w:val="24"/>
        </w:rPr>
        <w:t xml:space="preserve"> – операция, проводимая по Аналитическому счету Претендента и означающая запрет на использование средств Гарантийного обеспечения в объеме блокирования. Блокирование прекращается по основаниям, установленным Соглашением.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Гарантийное обеспечение</w:t>
      </w:r>
      <w:r>
        <w:rPr>
          <w:rFonts w:ascii="Times New Roman" w:eastAsia="Times New Roman" w:hAnsi="Times New Roman" w:cs="Times New Roman"/>
          <w:sz w:val="24"/>
        </w:rPr>
        <w:t xml:space="preserve"> - денежные средства, предназначенные для выдачи Продавцу/Арендодателю/Организатору торговой процедуры задатка Претендента по Договору о задатке, заключенному между указанными лицами, по Заявке такого </w:t>
      </w:r>
      <w:r>
        <w:rPr>
          <w:rFonts w:ascii="Times New Roman" w:eastAsia="Times New Roman" w:hAnsi="Times New Roman" w:cs="Times New Roman"/>
          <w:sz w:val="24"/>
        </w:rPr>
        <w:lastRenderedPageBreak/>
        <w:t>Претендента, направленной средствами ЭП «</w:t>
      </w:r>
      <w:proofErr w:type="spellStart"/>
      <w:r>
        <w:rPr>
          <w:rFonts w:ascii="Times New Roman" w:eastAsia="Times New Roman" w:hAnsi="Times New Roman" w:cs="Times New Roman"/>
          <w:sz w:val="24"/>
        </w:rPr>
        <w:t>РТСтендер</w:t>
      </w:r>
      <w:proofErr w:type="spellEnd"/>
      <w:r>
        <w:rPr>
          <w:rFonts w:ascii="Times New Roman" w:eastAsia="Times New Roman" w:hAnsi="Times New Roman" w:cs="Times New Roman"/>
          <w:sz w:val="24"/>
        </w:rPr>
        <w:t xml:space="preserve">». Размер Гарантийного обеспечения определяется суммой задатка по каждому Договору о задатке и не может быть меньше такой суммы. Гарантийное обеспечение оплаты оказания услуг - денежные средства, предназначенные для обеспечения обязательства Участника торговой процедуры по оплате вознаграждения за оказание услуг в соответствии с настоящим Соглашением и Регламентом электронной площадки «РТС-тендер» Имущественные торги, блокирование которых Оператор производит при подаче Заявки. Сумма </w:t>
      </w:r>
      <w:proofErr w:type="gramStart"/>
      <w:r>
        <w:rPr>
          <w:rFonts w:ascii="Times New Roman" w:eastAsia="Times New Roman" w:hAnsi="Times New Roman" w:cs="Times New Roman"/>
          <w:sz w:val="24"/>
        </w:rPr>
        <w:t>Средств гарантийного обеспечения оплаты оказания услуг</w:t>
      </w:r>
      <w:proofErr w:type="gramEnd"/>
      <w:r>
        <w:rPr>
          <w:rFonts w:ascii="Times New Roman" w:eastAsia="Times New Roman" w:hAnsi="Times New Roman" w:cs="Times New Roman"/>
          <w:sz w:val="24"/>
        </w:rPr>
        <w:t xml:space="preserve"> для каждой Заявки рассчитывается отдельно, исходя из размера вознаграждения, установленного Тарифами.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Договор о задатке</w:t>
      </w:r>
      <w:r>
        <w:rPr>
          <w:rFonts w:ascii="Times New Roman" w:eastAsia="Times New Roman" w:hAnsi="Times New Roman" w:cs="Times New Roman"/>
          <w:sz w:val="24"/>
        </w:rPr>
        <w:t xml:space="preserve"> – гражданско-правовой договор, заключаемый между Продавцом/Арендодателем/Организатором торговой процедуры и Претендентом посредством выдачи Претендентом задатка Продавцу/Арендодателю/Организатору торговой процедуры   в соответствии с Соглашением. Условия Договора о задатке определяются Продавцом/Арендодателем/Организатором торговой процедуры в информационном сообщении о проведении Продажи/Аренды/Нестационарной процедуры.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Договор аренды</w:t>
      </w:r>
      <w:r>
        <w:rPr>
          <w:rFonts w:ascii="Times New Roman" w:eastAsia="Times New Roman" w:hAnsi="Times New Roman" w:cs="Times New Roman"/>
          <w:sz w:val="24"/>
        </w:rPr>
        <w:t xml:space="preserve"> – договор аренды государственного или муниципального имущества, заключаемый с победителем процедуры Аренды.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Договор купли-продажи</w:t>
      </w:r>
      <w:r>
        <w:rPr>
          <w:rFonts w:ascii="Times New Roman" w:eastAsia="Times New Roman" w:hAnsi="Times New Roman" w:cs="Times New Roman"/>
          <w:sz w:val="24"/>
        </w:rPr>
        <w:t xml:space="preserve"> – договор купли-продажи имущества, заключаемый Продавцом с победителем Продажи.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Договор нестационарный</w:t>
      </w:r>
      <w:r>
        <w:rPr>
          <w:rFonts w:ascii="Times New Roman" w:eastAsia="Times New Roman" w:hAnsi="Times New Roman" w:cs="Times New Roman"/>
          <w:sz w:val="24"/>
        </w:rPr>
        <w:t xml:space="preserve"> – договор, заключаемый с победителем Нестационарной процедуры.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Закон об исполнительном производстве (далее – Закон № 229-ФЗ)</w:t>
      </w:r>
      <w:r>
        <w:rPr>
          <w:rFonts w:ascii="Times New Roman" w:eastAsia="Times New Roman" w:hAnsi="Times New Roman" w:cs="Times New Roman"/>
          <w:sz w:val="24"/>
        </w:rPr>
        <w:t xml:space="preserve"> – Федеральный закон Федеральный закон «Об исполнительном производстве» от 02.10.2007 № 229-ФЗ.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Задаток</w:t>
      </w:r>
      <w:r>
        <w:rPr>
          <w:rFonts w:ascii="Times New Roman" w:eastAsia="Times New Roman" w:hAnsi="Times New Roman" w:cs="Times New Roman"/>
          <w:sz w:val="24"/>
        </w:rPr>
        <w:t xml:space="preserve"> – способ обеспечения исполнения обязательств согласно ГК РФ. </w:t>
      </w:r>
      <w:r>
        <w:rPr>
          <w:rFonts w:ascii="Times New Roman" w:eastAsia="Times New Roman" w:hAnsi="Times New Roman" w:cs="Times New Roman"/>
          <w:b/>
          <w:sz w:val="24"/>
        </w:rPr>
        <w:t>Законодательство, регулирующее земельные отношения</w:t>
      </w:r>
      <w:r>
        <w:rPr>
          <w:rFonts w:ascii="Times New Roman" w:eastAsia="Times New Roman" w:hAnsi="Times New Roman" w:cs="Times New Roman"/>
          <w:sz w:val="24"/>
        </w:rPr>
        <w:t xml:space="preserve"> – Гражданский Кодекс Российской федерации, Земельный Кодекс Российской Федерации, Закон Московской области от 07.06.1996 № 23/96-ОЗ «О регулировании земельных отношений в Московской области» и иное законодательство и нормативно-правовые акты, регулирующие организацию и проведение аукционов по аренде земельных участков Московской области. </w:t>
      </w:r>
      <w:proofErr w:type="gramStart"/>
      <w:r>
        <w:rPr>
          <w:rFonts w:ascii="Times New Roman" w:eastAsia="Times New Roman" w:hAnsi="Times New Roman" w:cs="Times New Roman"/>
          <w:b/>
          <w:sz w:val="24"/>
        </w:rPr>
        <w:t>Заявка на участие в Продаже/Аренде/Нестационарной процедуре (далее - Заявка)</w:t>
      </w:r>
      <w:r>
        <w:rPr>
          <w:rFonts w:ascii="Times New Roman" w:eastAsia="Times New Roman" w:hAnsi="Times New Roman" w:cs="Times New Roman"/>
          <w:sz w:val="24"/>
        </w:rPr>
        <w:t xml:space="preserve"> – электронный документ, направляемый Претендентом Оператору средствами ЭП «РТС-тендер», содержащий информацию о Претенденте, подписанный ЭЦП последнего и обозначающий желание Претендента участвовать в Продаже/Аренде/Нестационарной процедуре и выдать Продавцу/Арендодателю/Организатору торговой процедуры задаток из средств Гарантийного обеспечения и тем самым заключить договор о задатке.</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Квалифицированная электронная подпись –</w:t>
      </w:r>
      <w:r>
        <w:rPr>
          <w:rFonts w:ascii="Times New Roman" w:eastAsia="Times New Roman" w:hAnsi="Times New Roman" w:cs="Times New Roman"/>
          <w:sz w:val="24"/>
        </w:rPr>
        <w:t xml:space="preserve"> электронная подпись, которая соответствует признакам, установленным п. 4 ст. 5 Федерального закона от 6 апреля 2011 г. № 63-ФЗ «Об электронной подписи».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Коммерческая процедура –</w:t>
      </w:r>
      <w:r>
        <w:rPr>
          <w:rFonts w:ascii="Times New Roman" w:eastAsia="Times New Roman" w:hAnsi="Times New Roman" w:cs="Times New Roman"/>
          <w:sz w:val="24"/>
        </w:rPr>
        <w:t xml:space="preserve"> процедура проведения торгов в электронной форме по купле-продаже коммерческого имущества или по передаче в аренду коммерческого недвижимого имущества, по итогам которой заключается договор купли-продажи такого имущества или договор аренды коммерческого недвижимого имущества.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Лесной кодекс</w:t>
      </w:r>
      <w:r>
        <w:rPr>
          <w:rFonts w:ascii="Times New Roman" w:eastAsia="Times New Roman" w:hAnsi="Times New Roman" w:cs="Times New Roman"/>
          <w:sz w:val="24"/>
        </w:rPr>
        <w:t xml:space="preserve"> - Лесной кодекс Российской Федерации от 04.12.2006 № 200-ФЗ.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Личный кабинет</w:t>
      </w:r>
      <w:r>
        <w:rPr>
          <w:rFonts w:ascii="Times New Roman" w:eastAsia="Times New Roman" w:hAnsi="Times New Roman" w:cs="Times New Roman"/>
          <w:sz w:val="24"/>
        </w:rPr>
        <w:t xml:space="preserve"> – часть Электронной площадки, доступная только присоединившимся к Регламенту пользователям.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Нестационарная процедура</w:t>
      </w:r>
      <w:r>
        <w:rPr>
          <w:rFonts w:ascii="Times New Roman" w:eastAsia="Times New Roman" w:hAnsi="Times New Roman" w:cs="Times New Roman"/>
          <w:sz w:val="24"/>
        </w:rPr>
        <w:t xml:space="preserve"> – заключение договора на осуществление торговой деятельности (оказание услуг) в нестационарном торговом объекте, договора на размещение нестационарного торгового объекта и заключение таких договоров, а равно процедура проведения аукциона в электронной форме для определения победителя Нестационарной процедуры.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Организатор аукциона</w:t>
      </w:r>
      <w:r>
        <w:rPr>
          <w:rFonts w:ascii="Times New Roman" w:eastAsia="Times New Roman" w:hAnsi="Times New Roman" w:cs="Times New Roman"/>
          <w:sz w:val="24"/>
        </w:rPr>
        <w:t xml:space="preserve"> - органы государственной власти, органы местного самоуправления или уполномоченные ими организации, опубликовавшие информационное сообщение о проведен</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 xml:space="preserve">кциона на право заключения договора на право размещения нестационарного торгового объекта или на право заключения договора на установку и эксплуатацию рекламной конструкции, присоединившиеся к Регламенту и Соглашению о гарантийном обеспечении в установленном порядке.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Организатор торгов на право заключения договора водопользования</w:t>
      </w:r>
      <w:r>
        <w:rPr>
          <w:rFonts w:ascii="Times New Roman" w:eastAsia="Times New Roman" w:hAnsi="Times New Roman" w:cs="Times New Roman"/>
          <w:sz w:val="24"/>
        </w:rPr>
        <w:t xml:space="preserve"> - Федеральное агентство водных ресурсов или его территориальные органы, орган исполнительной власти субъекта Российской Федерации, уполномоченный на заключение договоров водопользования, орган местного </w:t>
      </w:r>
      <w:proofErr w:type="gramStart"/>
      <w:r>
        <w:rPr>
          <w:rFonts w:ascii="Times New Roman" w:eastAsia="Times New Roman" w:hAnsi="Times New Roman" w:cs="Times New Roman"/>
          <w:sz w:val="24"/>
        </w:rPr>
        <w:t>самоуправления</w:t>
      </w:r>
      <w:proofErr w:type="gramEnd"/>
      <w:r>
        <w:rPr>
          <w:rFonts w:ascii="Times New Roman" w:eastAsia="Times New Roman" w:hAnsi="Times New Roman" w:cs="Times New Roman"/>
          <w:sz w:val="24"/>
        </w:rPr>
        <w:t xml:space="preserve"> опубликовавшие информационное сообщение о проведении аукциона в рамках Постановления № 230, присоединившийся к Регламенту и Соглашению о гарантийном обеспечении в установленном порядке. </w:t>
      </w:r>
      <w:r>
        <w:rPr>
          <w:rFonts w:ascii="Times New Roman" w:eastAsia="Times New Roman" w:hAnsi="Times New Roman" w:cs="Times New Roman"/>
          <w:b/>
          <w:sz w:val="24"/>
        </w:rPr>
        <w:t>Организатор торгов на право заключения договора пользования рыбоводным участком</w:t>
      </w:r>
      <w:r>
        <w:rPr>
          <w:rFonts w:ascii="Times New Roman" w:eastAsia="Times New Roman" w:hAnsi="Times New Roman" w:cs="Times New Roman"/>
          <w:sz w:val="24"/>
        </w:rPr>
        <w:t xml:space="preserve"> – Федеральное агентство по рыболовству и/или территориальные органы Федерального агентства по рыболовству, опубликовавшие информационное сообщение о проведен</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 xml:space="preserve">кциона в рамках Постановления № 450, присоединившийся к Регламенту и Соглашению о гарантийном обеспечении в установленном порядке. </w:t>
      </w:r>
    </w:p>
    <w:p w:rsidR="001079C2" w:rsidRDefault="00464635">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Организатор торгов на право пользования участком недр</w:t>
      </w:r>
      <w:r>
        <w:rPr>
          <w:rFonts w:ascii="Times New Roman" w:eastAsia="Times New Roman" w:hAnsi="Times New Roman" w:cs="Times New Roman"/>
          <w:sz w:val="24"/>
        </w:rPr>
        <w:t xml:space="preserve"> - орган государственной власти субъекта Российской Федерации, уполномоченный на осуществление организации и проведения торгов на право пользования участками недр местного значения, или иное уполномоченное лицо, опубликовавшие извещение о проведении аукциона в рамках Постановления № 419/22, присоединившийся к Регламенту и Соглашению о гарантийном обеспечении в установленном порядке. </w:t>
      </w:r>
      <w:proofErr w:type="gramEnd"/>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Оператор</w:t>
      </w:r>
      <w:r>
        <w:rPr>
          <w:rFonts w:ascii="Times New Roman" w:eastAsia="Times New Roman" w:hAnsi="Times New Roman" w:cs="Times New Roman"/>
          <w:sz w:val="24"/>
        </w:rPr>
        <w:t xml:space="preserve">–оператор Электронной площадки «РТС-тендер» Имущественные торги –  ООО «РТС-тендер» (ИНН 7710357167, ОГРН 1027739521666).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Положение № 860</w:t>
      </w:r>
      <w:r>
        <w:rPr>
          <w:rFonts w:ascii="Times New Roman" w:eastAsia="Times New Roman" w:hAnsi="Times New Roman" w:cs="Times New Roman"/>
          <w:sz w:val="24"/>
        </w:rPr>
        <w:t xml:space="preserve"> – Положение об организации и проведении продажи государственного или муниципального имущества в электронной форме, утверждённое постановлением Правительства РФ от 27.08.2012 г. № 860.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Постановление № 1041</w:t>
      </w:r>
      <w:r>
        <w:rPr>
          <w:rFonts w:ascii="Times New Roman" w:eastAsia="Times New Roman" w:hAnsi="Times New Roman" w:cs="Times New Roman"/>
          <w:sz w:val="24"/>
        </w:rPr>
        <w:t xml:space="preserve"> – Постановление Правительства Российской Федерации от 30.09.2015 № 1041 «О порядке реализации имущества, обращенного в собственность государства, и о внесении изменения в постановление Правительства Российской Федерации от 10 сентября 2012 г. № 909» (вместе с «Положением о порядке реализации имущества, обращенного в собственность государства»).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Постановление № 230</w:t>
      </w:r>
      <w:r>
        <w:rPr>
          <w:rFonts w:ascii="Times New Roman" w:eastAsia="Times New Roman" w:hAnsi="Times New Roman" w:cs="Times New Roman"/>
          <w:sz w:val="24"/>
        </w:rPr>
        <w:t xml:space="preserve"> - Постановление Правительства РФ от 14 апреля 2007 г. № 230 «О договоре водопользования, </w:t>
      </w:r>
      <w:proofErr w:type="gramStart"/>
      <w:r>
        <w:rPr>
          <w:rFonts w:ascii="Times New Roman" w:eastAsia="Times New Roman" w:hAnsi="Times New Roman" w:cs="Times New Roman"/>
          <w:sz w:val="24"/>
        </w:rPr>
        <w:t>право</w:t>
      </w:r>
      <w:proofErr w:type="gramEnd"/>
      <w:r>
        <w:rPr>
          <w:rFonts w:ascii="Times New Roman" w:eastAsia="Times New Roman" w:hAnsi="Times New Roman" w:cs="Times New Roman"/>
          <w:sz w:val="24"/>
        </w:rPr>
        <w:t xml:space="preserve"> на заключение которого приобретается на аукционе, и о проведении аукциона».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Постановление № 419/22</w:t>
      </w:r>
      <w:r>
        <w:rPr>
          <w:rFonts w:ascii="Times New Roman" w:eastAsia="Times New Roman" w:hAnsi="Times New Roman" w:cs="Times New Roman"/>
          <w:sz w:val="24"/>
        </w:rPr>
        <w:t xml:space="preserve"> - постановление Правительства Московской области от 02.06.2009 № 419/22 «Об утверждении Положения о порядке и условиях проведения аукционов на право пользования участками недр местного значения на территории Московской области».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Постановление № 450</w:t>
      </w:r>
      <w:r>
        <w:rPr>
          <w:rFonts w:ascii="Times New Roman" w:eastAsia="Times New Roman" w:hAnsi="Times New Roman" w:cs="Times New Roman"/>
          <w:sz w:val="24"/>
        </w:rPr>
        <w:t xml:space="preserve"> - Постановление Правительства РФ от 15.05.2014 № 450 «Об утверждении Правил организации и проведения торгов (конкурсов, аукционов) на право заключения договора пользования рыбоводным участком».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Постановление № 604</w:t>
      </w:r>
      <w:r>
        <w:rPr>
          <w:rFonts w:ascii="Times New Roman" w:eastAsia="Times New Roman" w:hAnsi="Times New Roman" w:cs="Times New Roman"/>
          <w:sz w:val="24"/>
        </w:rPr>
        <w:t xml:space="preserve"> - Постановление Правительства РФ от 23.07.2009 № 604 «О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Правила 67</w:t>
      </w:r>
      <w:r>
        <w:rPr>
          <w:rFonts w:ascii="Times New Roman" w:eastAsia="Times New Roman" w:hAnsi="Times New Roman" w:cs="Times New Roman"/>
          <w:sz w:val="24"/>
        </w:rPr>
        <w:t xml:space="preserve"> –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 Приказом № 67). </w:t>
      </w:r>
      <w:r>
        <w:rPr>
          <w:rFonts w:ascii="Times New Roman" w:eastAsia="Times New Roman" w:hAnsi="Times New Roman" w:cs="Times New Roman"/>
          <w:b/>
          <w:sz w:val="24"/>
        </w:rPr>
        <w:t>Представитель Арендодателя</w:t>
      </w:r>
      <w:r>
        <w:rPr>
          <w:rFonts w:ascii="Times New Roman" w:eastAsia="Times New Roman" w:hAnsi="Times New Roman" w:cs="Times New Roman"/>
          <w:sz w:val="24"/>
        </w:rPr>
        <w:t xml:space="preserve"> – федеральный орган исполнительной власти, орган </w:t>
      </w:r>
      <w:r>
        <w:rPr>
          <w:rFonts w:ascii="Times New Roman" w:eastAsia="Times New Roman" w:hAnsi="Times New Roman" w:cs="Times New Roman"/>
          <w:sz w:val="24"/>
        </w:rPr>
        <w:lastRenderedPageBreak/>
        <w:t xml:space="preserve">исполнительной власти субъекта РФ, орган местного самоуправления, юридическое лицо, осуществляющие функции Арендодателя,  и уполномоченное Арендодателем на осуществление таких функций. Представитель Арендодателя осуществляет функции всех Арендодателей, уполномочивших его на это. На ЭП «РТС-тендер» Представитель Арендодателя вправе осуществлять функции как Арендодателей, уполномочивших его на это, так и Арендодателей, которые уполномочат его на это в последующем.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Представитель Продавца</w:t>
      </w:r>
      <w:r>
        <w:rPr>
          <w:rFonts w:ascii="Times New Roman" w:eastAsia="Times New Roman" w:hAnsi="Times New Roman" w:cs="Times New Roman"/>
          <w:sz w:val="24"/>
        </w:rPr>
        <w:t xml:space="preserve"> – федеральный орган исполнительной власти, орган исполнительной власти субъекта РФ, орган местного самоуправления, юридическое лицо, осуществляющие функции Продавца по продаже в рамках Закона 178-ФЗ или Закона        № 229-ФЗ или Положения, утвержденного Постановлением № 860, или Лесного кодекса, или Постановления № 604, и уполномоченное Продавцом на осуществление таких функций. В Соглашении Представитель Продавца именуется Продавцом. В рамках Соглашения Представитель Продавца осуществляет функции всех Продавцов, уполномочивших его на это, при этом для каждого отдельного Продавца Соглашение является отдельной сделкой. В рамках Соглашения Представитель Продавца вправе осуществлять функции как Продавцов, уполномочивших его на это, так и Продавцов, которые уполномочат его на это в последующем. </w:t>
      </w:r>
    </w:p>
    <w:p w:rsidR="001079C2" w:rsidRDefault="00464635">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Претендент</w:t>
      </w:r>
      <w:r>
        <w:rPr>
          <w:rFonts w:ascii="Times New Roman" w:eastAsia="Times New Roman" w:hAnsi="Times New Roman" w:cs="Times New Roman"/>
          <w:sz w:val="24"/>
        </w:rPr>
        <w:t xml:space="preserve"> – физическое лицо, юридическое лицо, индивидуальный предприниматель имеющий намерение стать Участником процедуры торгов, проводимой на ЭП, и выдать для этих целей задаток Продавцу/Арендодателю/ Организатору аукциона/Коммерческому продавцу/Коммерческому арендодателю/Организатору торгов на право заключения договора пользования рыбоводным участком/Организатору торгов на право заключения договора водопользования или Организатору торгов на право пользования участком недр, присоединившееся к Соглашению в установленном им</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порядке</w:t>
      </w:r>
      <w:proofErr w:type="gramEnd"/>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Приказ № 67</w:t>
      </w:r>
      <w:r>
        <w:rPr>
          <w:rFonts w:ascii="Times New Roman" w:eastAsia="Times New Roman" w:hAnsi="Times New Roman" w:cs="Times New Roman"/>
          <w:sz w:val="24"/>
        </w:rPr>
        <w:t xml:space="preserve"> –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End"/>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Продавец </w:t>
      </w:r>
      <w:r>
        <w:rPr>
          <w:rFonts w:ascii="Times New Roman" w:eastAsia="Times New Roman" w:hAnsi="Times New Roman" w:cs="Times New Roman"/>
          <w:sz w:val="24"/>
        </w:rPr>
        <w:t xml:space="preserve">– федеральный орган исполнительной власти, орган исполнительной власти субъекта России или орган местного самоуправления, а равно их представитель – юридическое лицо, опубликовавший информационное сообщение о продаже имущества в рамках Закона 178-ФЗ или Закона № 229-ФЗ или Лесного кодекса, или Постановления № 604, присоединившийся к Соглашению в установленном порядке.  </w:t>
      </w:r>
    </w:p>
    <w:p w:rsidR="001079C2" w:rsidRDefault="00464635">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 xml:space="preserve">Продажа </w:t>
      </w:r>
      <w:r>
        <w:rPr>
          <w:rFonts w:ascii="Times New Roman" w:eastAsia="Times New Roman" w:hAnsi="Times New Roman" w:cs="Times New Roman"/>
          <w:sz w:val="24"/>
        </w:rPr>
        <w:t>– продажа имущества в электронной форме в соответствии с 178-ФЗ и Положением, утвержденным Постановлением № 860, или Лесным кодексом или Постановлением № 604 или продажа имущества должника (продажа арестованного имущества) в соответствии с Законом № 229-ФЗ, или продажа имущества, обращенного в собственность государства, в соответствии с Положением, утвержденным Постановлением № 1041, а равно и сама процедура проведения аукциона в электронной форме для определения победителя</w:t>
      </w:r>
      <w:proofErr w:type="gramEnd"/>
      <w:r>
        <w:rPr>
          <w:rFonts w:ascii="Times New Roman" w:eastAsia="Times New Roman" w:hAnsi="Times New Roman" w:cs="Times New Roman"/>
          <w:sz w:val="24"/>
        </w:rPr>
        <w:t xml:space="preserve"> Продажи.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Распоряжение 17РВ-25</w:t>
      </w:r>
      <w:r>
        <w:rPr>
          <w:rFonts w:ascii="Times New Roman" w:eastAsia="Times New Roman" w:hAnsi="Times New Roman" w:cs="Times New Roman"/>
          <w:sz w:val="24"/>
        </w:rPr>
        <w:t xml:space="preserve"> – Распоряжение Министерства потребительского рынка и услуг Московской области «О примерном </w:t>
      </w:r>
      <w:proofErr w:type="gramStart"/>
      <w:r>
        <w:rPr>
          <w:rFonts w:ascii="Times New Roman" w:eastAsia="Times New Roman" w:hAnsi="Times New Roman" w:cs="Times New Roman"/>
          <w:sz w:val="24"/>
        </w:rPr>
        <w:t>положении</w:t>
      </w:r>
      <w:proofErr w:type="gramEnd"/>
      <w:r>
        <w:rPr>
          <w:rFonts w:ascii="Times New Roman" w:eastAsia="Times New Roman" w:hAnsi="Times New Roman" w:cs="Times New Roman"/>
          <w:sz w:val="24"/>
        </w:rPr>
        <w:t xml:space="preserve"> о проведении открытого аукциона в электронной форме на право размещения нестационарного торгового объекта».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Регламент Электронной площадки (далее - «Регламент»)</w:t>
      </w:r>
      <w:r>
        <w:rPr>
          <w:rFonts w:ascii="Times New Roman" w:eastAsia="Times New Roman" w:hAnsi="Times New Roman" w:cs="Times New Roman"/>
          <w:sz w:val="24"/>
        </w:rPr>
        <w:t xml:space="preserve"> – свод правил функционирования Электронной площадки, содержащий, в том числе, права и обязанности Оператора, Сторон и определяющий правила их поведения в части взаимодействия на Электронной площадке.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Сайт</w:t>
      </w:r>
      <w:r>
        <w:rPr>
          <w:rFonts w:ascii="Times New Roman" w:eastAsia="Times New Roman" w:hAnsi="Times New Roman" w:cs="Times New Roman"/>
          <w:sz w:val="24"/>
        </w:rPr>
        <w:t xml:space="preserve"> - Интернет сайт, расположенный по адресу www.i.rts-tender.ru, посредством которого осуществляется доступ к Электронной площадке.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Стороны Соглашения (далее - Стороны/Сторона)</w:t>
      </w:r>
      <w:r>
        <w:rPr>
          <w:rFonts w:ascii="Times New Roman" w:eastAsia="Times New Roman" w:hAnsi="Times New Roman" w:cs="Times New Roman"/>
          <w:sz w:val="24"/>
        </w:rPr>
        <w:t xml:space="preserve"> – Оператор и Продавец/Арендодатель/Организатор аукциона и/или Претендент – </w:t>
      </w:r>
      <w:proofErr w:type="gramStart"/>
      <w:r>
        <w:rPr>
          <w:rFonts w:ascii="Times New Roman" w:eastAsia="Times New Roman" w:hAnsi="Times New Roman" w:cs="Times New Roman"/>
          <w:sz w:val="24"/>
        </w:rPr>
        <w:t>присоединившееся</w:t>
      </w:r>
      <w:proofErr w:type="gramEnd"/>
      <w:r>
        <w:rPr>
          <w:rFonts w:ascii="Times New Roman" w:eastAsia="Times New Roman" w:hAnsi="Times New Roman" w:cs="Times New Roman"/>
          <w:sz w:val="24"/>
        </w:rPr>
        <w:t xml:space="preserve"> к Соглашению в установленном порядке.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Счёт Оператора</w:t>
      </w:r>
      <w:r>
        <w:rPr>
          <w:rFonts w:ascii="Times New Roman" w:eastAsia="Times New Roman" w:hAnsi="Times New Roman" w:cs="Times New Roman"/>
          <w:sz w:val="24"/>
        </w:rPr>
        <w:t xml:space="preserve"> – принадлежащий Оператору банковский счет в рублях Российской Федерации и предназначенный для учёта средств Гарантийного обеспечения, реквизиты которого публикуются Оператором в закрытой части ЭП «РТС-тендер» в Личном кабинете Претендента.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Удостоверяющий центр (УЦ)</w:t>
      </w:r>
      <w:r>
        <w:rPr>
          <w:rFonts w:ascii="Times New Roman" w:eastAsia="Times New Roman" w:hAnsi="Times New Roman" w:cs="Times New Roman"/>
          <w:sz w:val="24"/>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от 6 апреля 2011 г. № 63-ФЗ «Об электронной подписи».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Участник</w:t>
      </w:r>
      <w:r>
        <w:rPr>
          <w:rFonts w:ascii="Times New Roman" w:eastAsia="Times New Roman" w:hAnsi="Times New Roman" w:cs="Times New Roman"/>
          <w:sz w:val="24"/>
        </w:rPr>
        <w:t xml:space="preserve"> – лицо, зарегистрированное на ЭП в установленном Регламентом порядке, которому предоставлен доступ в личный кабинет и подавший с использованием ЭП Заявку на участие в торговой процедуре, проводимой на ЭП.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Участник Аренды</w:t>
      </w:r>
      <w:r>
        <w:rPr>
          <w:rFonts w:ascii="Times New Roman" w:eastAsia="Times New Roman" w:hAnsi="Times New Roman" w:cs="Times New Roman"/>
          <w:sz w:val="24"/>
        </w:rPr>
        <w:t xml:space="preserve"> – Претендент, признанный участником процедуры Аренды в соответствии с законом. </w:t>
      </w:r>
    </w:p>
    <w:p w:rsidR="001079C2" w:rsidRDefault="00464635">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Участник Коммерческой процедуры</w:t>
      </w:r>
      <w:r>
        <w:rPr>
          <w:rFonts w:ascii="Times New Roman" w:eastAsia="Times New Roman" w:hAnsi="Times New Roman" w:cs="Times New Roman"/>
          <w:sz w:val="24"/>
        </w:rPr>
        <w:t xml:space="preserve"> – любое юридическое лицо и/или индивидуальный предприниматель и/или физическое лицо, намеренные: (1) купить и/или продать имущество или (2) получить в аренду и/или передать в аренду недвижимое имущество, – посредством Коммерческой процедуры, при этом в данном случае продавцом (Коммерческий продавец) или арендодателем (Коммерческий арендодатель) может выступать только юридическое лицо, а покупателем (Коммерческий покупатель) или арендатором (Коммерческий</w:t>
      </w:r>
      <w:proofErr w:type="gramEnd"/>
      <w:r>
        <w:rPr>
          <w:rFonts w:ascii="Times New Roman" w:eastAsia="Times New Roman" w:hAnsi="Times New Roman" w:cs="Times New Roman"/>
          <w:sz w:val="24"/>
        </w:rPr>
        <w:t xml:space="preserve"> арендатор) – кто угодно из </w:t>
      </w:r>
      <w:proofErr w:type="gramStart"/>
      <w:r>
        <w:rPr>
          <w:rFonts w:ascii="Times New Roman" w:eastAsia="Times New Roman" w:hAnsi="Times New Roman" w:cs="Times New Roman"/>
          <w:sz w:val="24"/>
        </w:rPr>
        <w:t>указанных</w:t>
      </w:r>
      <w:proofErr w:type="gramEnd"/>
      <w:r>
        <w:rPr>
          <w:rFonts w:ascii="Times New Roman" w:eastAsia="Times New Roman" w:hAnsi="Times New Roman" w:cs="Times New Roman"/>
          <w:sz w:val="24"/>
        </w:rPr>
        <w:t xml:space="preserve"> в настоящем абзаце. Участник Коммерческой процедуры может действовать через своего представителя. </w:t>
      </w:r>
      <w:r>
        <w:rPr>
          <w:rFonts w:ascii="Times New Roman" w:eastAsia="Times New Roman" w:hAnsi="Times New Roman" w:cs="Times New Roman"/>
          <w:b/>
          <w:sz w:val="24"/>
        </w:rPr>
        <w:t>Участник Нестационарной процедуры</w:t>
      </w:r>
      <w:r>
        <w:rPr>
          <w:rFonts w:ascii="Times New Roman" w:eastAsia="Times New Roman" w:hAnsi="Times New Roman" w:cs="Times New Roman"/>
          <w:sz w:val="24"/>
        </w:rPr>
        <w:t xml:space="preserve"> – Претендент, признанный участником Нестационарной процедуры в соответствии с законом.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Участник Продажи (далее -  Участник)</w:t>
      </w:r>
      <w:r>
        <w:rPr>
          <w:rFonts w:ascii="Times New Roman" w:eastAsia="Times New Roman" w:hAnsi="Times New Roman" w:cs="Times New Roman"/>
          <w:sz w:val="24"/>
        </w:rPr>
        <w:t xml:space="preserve"> – Претендент, признанный участником Продажи в понимании Закона 178-ФЗ и Положения. Участник торгов на право заключения договора водопользования – любое лицо, заинтересованные в предоставлении ему акватории водного объекта в пользование, полномочное принимать участие в аукционе в рамках Постановления № 230, или участвующее в нем, и прошедшее Регистрацию  на Электронной площадке. Участник торгов на право заключения договора пользования рыбоводным участком - любое лицо, полномочное принимать участие в аукционе в рамках Постановления № 450, или участвующее в нем и прошедшее Регистрацию на Электронной площадке. Участник торгов на право пользования участками недр - любые субъекты предпринимательской деятельности, за исключением субъектов предпринимательской деятельности, для которых федеральными законами установлены ограничения предоставления права пользования недрами, и прошедшее Регистрацию на Электронной площадке. </w:t>
      </w:r>
    </w:p>
    <w:p w:rsidR="001079C2" w:rsidRDefault="00464635">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Электронная площадка «РТС-тендер» Имущественные торги (далее - «Электронная площадка», ЭП «</w:t>
      </w:r>
      <w:proofErr w:type="spellStart"/>
      <w:r>
        <w:rPr>
          <w:rFonts w:ascii="Times New Roman" w:eastAsia="Times New Roman" w:hAnsi="Times New Roman" w:cs="Times New Roman"/>
          <w:b/>
          <w:sz w:val="24"/>
        </w:rPr>
        <w:t>РТСтендер</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 аппаратно-программный комплекс, представляющий собой совокупность программного обеспечения, а также вычислительных средств и баз данных, предназначенных для проведения торгов в электронной форме, доступ к которому обеспечивается через сеть «Интернет» по адресу: http://www.i.rts-tender.ru/, - и с помощью которого Оператор,  а также Претендент, Продавец, Арендодатель, Организатор торговой процедуры, присоединившиеся к</w:t>
      </w:r>
      <w:proofErr w:type="gramEnd"/>
      <w:r>
        <w:rPr>
          <w:rFonts w:ascii="Times New Roman" w:eastAsia="Times New Roman" w:hAnsi="Times New Roman" w:cs="Times New Roman"/>
          <w:sz w:val="24"/>
        </w:rPr>
        <w:t xml:space="preserve"> Регламенту в установленном им порядке, осуществляют обмен документами и сведениями, связанными с проведением торгов в электронной форме и выдачей задатков.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Электронная подпись (ЭЦП) </w:t>
      </w:r>
      <w:r>
        <w:rPr>
          <w:rFonts w:ascii="Times New Roman" w:eastAsia="Times New Roman" w:hAnsi="Times New Roman" w:cs="Times New Roman"/>
          <w:sz w:val="24"/>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Электронный документ</w:t>
      </w:r>
      <w:r>
        <w:rPr>
          <w:rFonts w:ascii="Times New Roman" w:eastAsia="Times New Roman" w:hAnsi="Times New Roman" w:cs="Times New Roman"/>
          <w:sz w:val="24"/>
        </w:rPr>
        <w:t xml:space="preserve"> – документ, в котором информация представлена в электронно-цифровой форме, в том числе сканированные версии бумажных документов, подписанные (заверенные) ЭЦП Претендента, Продавца, Арендодателя, Организатора торговой процедуры. </w:t>
      </w:r>
    </w:p>
    <w:p w:rsidR="001079C2" w:rsidRDefault="00464635">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Для целей прочтения и толкования положений Соглашения, следующих ниже: - любое упоминание Продавца означает самого Продавца или Арендодателя или Организатора аукциона или Коммерческого продавца или Коммерческого арендодателя или Организатора торгов на право заключения договора пользования рыбоводным участком или Организатора торгов на право заключения договора водопользования или Организатора торгов на право пользования участком недр или иной Организатор торговой процедуры, проводимой на ЭП</w:t>
      </w:r>
      <w:proofErr w:type="gramEnd"/>
      <w:r>
        <w:rPr>
          <w:rFonts w:ascii="Times New Roman" w:eastAsia="Times New Roman" w:hAnsi="Times New Roman" w:cs="Times New Roman"/>
          <w:sz w:val="24"/>
        </w:rPr>
        <w:t xml:space="preserve">; - любое упоминание Продажи означает саму Продажу или процедуру Аренды или Нестационарную процедуру или Коммерческую процедуру или процедуру торгов на право заключения договора пользования рыбоводным участком или процедуру торгов на право заключения договора водопользования или процедуру торгов на право пользования участком недр или иную торговую процедуру, проводимую на ЭП; - любое упоминание Договора купли-продажи означает сам Договор купли-продажи или Договор аренды или Нестационарный договор или Договор право заключения договора пользования рыбоводным участком или Договор на право заключения договора водопользования или иной договор, заключаемый по результатам проведения на ЭП торговой процедуры.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Предмет Соглашения</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 </w:t>
      </w:r>
      <w:proofErr w:type="gramStart"/>
      <w:r>
        <w:rPr>
          <w:rFonts w:ascii="Times New Roman" w:eastAsia="Times New Roman" w:hAnsi="Times New Roman" w:cs="Times New Roman"/>
          <w:sz w:val="24"/>
        </w:rPr>
        <w:t xml:space="preserve">Настоящее Соглашение устанавливает на Электронной площадке: - порядок внесения Претендентом задатка Продавцу по Договору о задатке; - порядок принятия, учёта и сбережения Оператором задатка для Продавца; - порядок передачи (перечисления) Оператором Продавцу задатка Претендента, ставшего победителем Продажи; - порядок возврата задатка Оператором Претенденту, не ставшим победителем Продажи; - порядок и условия внесения, списания и возврата денежных средств в размере стоимости услуг Оператора. </w:t>
      </w:r>
      <w:proofErr w:type="gramEnd"/>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 Претендент уполномочивает Оператора на принятие задатка Претендента, на передачу задатка Продавцу и на совершение всех предусмотренных Соглашением действий.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 Продавец уполномочивает Оператора на получение у Претендента задатка для Продавца и на совершение всех предусмотренных Соглашением действий.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Порядок передачи, учёта, удержания и списания средств Гарантийного обеспечения</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3.1. Для целей выдачи Продавцу задатка Претендент перечисляет на Счёт Оператора Гарантийное обеспечение. Перечисление Гарантийного обеспечения производится платёжным поручением с обязательным указанием следующего назначения платежа: «Внесение гарантийного обеспечения по Соглашению о внесении гарантийного обеспечения, № аналитического счета _________, без НДС».  Денежные средства, перечисленные в нарушение требований настоящего пункта Соглашения, не учитываются на Аналитическом счете Претендента и подлежат возврату по реквизитам плательщика.  Платежи от третьих лиц не принимаются.  Перечисление Претендентом денежных средств на Аналитический счет, открытый такому Претенденту при регистрации, является дополнительным фактом, подтверждающим, что Претендент присоединился к настоящему Соглашению и Регламенту электронной площадки Имущественные торги, ознакомился  с указанными документами Оператора и принял все условия работы Оператора, предусмотренные данными документами.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3.2. Денежные средства, перечисленные в счёт Гарантийного обеспечения, учитываются на Аналитическом счете Претендента, привязанном к Счёту Оператора. </w:t>
      </w:r>
      <w:proofErr w:type="gramStart"/>
      <w:r>
        <w:rPr>
          <w:rFonts w:ascii="Times New Roman" w:eastAsia="Times New Roman" w:hAnsi="Times New Roman" w:cs="Times New Roman"/>
          <w:sz w:val="24"/>
        </w:rPr>
        <w:t xml:space="preserve">В случае если реквизиты получателя в платежном поручении на перечисление денежных средств на Счет Оператора не совпадают с реквизитами, опубликованными в закрытой части ЭП «РТС-тендер» в Личном кабинете Претендент, перечисленные по такому платежному поручению денежные средства не учитываются на Аналитическом счете до момента получения Оператором от Претендента информации, разъясняющей такое платежное поручение. </w:t>
      </w:r>
      <w:proofErr w:type="gramEnd"/>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3.3. Блокирование/прекращение блокирования средств Гарантийного обеспечения на Аналитическом счете Претендента осуществляется в порядке, установленном настоящим Соглашением.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3.4. Основанием для блокирования средств Гарантийного обеспечения является Заявка Претендента.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Средства Гарантийного обеспечения блокируются в объеме задатка, размер которого указан в информационном сообщении о Продаже, для участия в котором подана Заявка, при условии наличия на Аналитическом счете Претендента средств Гарантийного обеспечения, не блокированных в размере указанного задатка (свободные средства).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3.5. Блокирование средств Гарантийного обеспечения производится Оператором в течение 1 (Одного) часа с момента наступления основания блокирования. Такие средства являются задатком, выданным Претендентом Продавцу. В случае если свободных средств Гарантийного обеспечения недостаточно для выдачи задатка Оператор отклоняет Заявку. В случае получения от Претендента нескольких Заявок, свободные средства Гарантийного обеспечения блокируются последовательно.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3.6. Блокированные средства Гарантийного обеспечения учитываются отдельно по каждой Заявке.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3.7. </w:t>
      </w:r>
      <w:proofErr w:type="gramStart"/>
      <w:r>
        <w:rPr>
          <w:rFonts w:ascii="Times New Roman" w:eastAsia="Times New Roman" w:hAnsi="Times New Roman" w:cs="Times New Roman"/>
          <w:sz w:val="24"/>
        </w:rPr>
        <w:t>Блокирование средств Гарантийного обеспечения в счёт задатка по Продаже прекращается в следующем порядке: - для Участников, за исключением Участника, который сделал предпоследнее ценовое предложение в аукционе на право заключения договора аренды, в аукционе на право заключения договора аренды лесного участка и/или купли-продажи лесных насаждений и/или в аукционе на право заключения договора пользования рыбоводным участком и/или в аукционе на</w:t>
      </w:r>
      <w:proofErr w:type="gramEnd"/>
      <w:r>
        <w:rPr>
          <w:rFonts w:ascii="Times New Roman" w:eastAsia="Times New Roman" w:hAnsi="Times New Roman" w:cs="Times New Roman"/>
          <w:sz w:val="24"/>
        </w:rPr>
        <w:t xml:space="preserve"> право заключения договора водопользования и/или в аукционе по аренде земельного участка (в случае, если это предусмотрено аукционной документации по аренде земельного участка),– в течение пяти календарных дней со дня подведения итогов Продажи, если нормативным правовым актом Продавца не установлен иной срок; - </w:t>
      </w:r>
      <w:proofErr w:type="gramStart"/>
      <w:r>
        <w:rPr>
          <w:rFonts w:ascii="Times New Roman" w:eastAsia="Times New Roman" w:hAnsi="Times New Roman" w:cs="Times New Roman"/>
          <w:sz w:val="24"/>
        </w:rPr>
        <w:t>для Участника, который сделал предпоследнее ценовое предложение в аукционе на право заключения договора аренды, в аукционе на право заключения договора аренды лесного участка и/или купли-продажи лесных насаждений и/или в аукционе на право заключения договора пользования рыбоводным участком и/или в аукционе на право заключения договора водопользования, – в течение одного календарного дня со дня предоставления Продавцом на ЭП сведений</w:t>
      </w:r>
      <w:proofErr w:type="gramEnd"/>
      <w:r>
        <w:rPr>
          <w:rFonts w:ascii="Times New Roman" w:eastAsia="Times New Roman" w:hAnsi="Times New Roman" w:cs="Times New Roman"/>
          <w:sz w:val="24"/>
        </w:rPr>
        <w:t xml:space="preserve"> о заключении договора с Победителем</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 xml:space="preserve">ля Претендентов, не допущенных к участию в Продаже – в течение пяти календарных дней со дня подписания протокола о признании претендентов участниками, если нормативным правовым актом Продавца не установлен иной срок.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3.8. </w:t>
      </w:r>
      <w:proofErr w:type="gramStart"/>
      <w:r>
        <w:rPr>
          <w:rFonts w:ascii="Times New Roman" w:eastAsia="Times New Roman" w:hAnsi="Times New Roman" w:cs="Times New Roman"/>
          <w:sz w:val="24"/>
        </w:rPr>
        <w:t>В случае признания Участника победителем Продажи либо лицом, с которым заключается договор по результатам соответствующей торговой процедуры, средства Гарантийного обеспечения, блокированные в счёт выданного задатка: - для всех процедур Продажи, а также процедур аренды лесного участка и аренды земельного участка – списываются с Аналитического счёта и перечисляются Продавцу в течение пяти рабочих дней со дня заключения Договора или указания на ЭП Продавцом</w:t>
      </w:r>
      <w:proofErr w:type="gramEnd"/>
      <w:r>
        <w:rPr>
          <w:rFonts w:ascii="Times New Roman" w:eastAsia="Times New Roman" w:hAnsi="Times New Roman" w:cs="Times New Roman"/>
          <w:sz w:val="24"/>
        </w:rPr>
        <w:t xml:space="preserve"> сведений о заключении Договора купли-продажи, либо указания на ЭП Организатором торгов на право пользования участком недр информации об участнике, которому предоставляется право пользования участком недр, если нормативным правовым актом Продавца не установлен </w:t>
      </w:r>
      <w:r>
        <w:rPr>
          <w:rFonts w:ascii="Times New Roman" w:eastAsia="Times New Roman" w:hAnsi="Times New Roman" w:cs="Times New Roman"/>
          <w:sz w:val="24"/>
        </w:rPr>
        <w:lastRenderedPageBreak/>
        <w:t xml:space="preserve">меньший срок; - для процедуры Аренды, за исключением аренды лесного участка и аренды земельного участка, – возвращаются (посредством прекращения блокирования) победителю процедуры Аренды в течение пяти рабочих дней </w:t>
      </w:r>
      <w:proofErr w:type="gramStart"/>
      <w:r>
        <w:rPr>
          <w:rFonts w:ascii="Times New Roman" w:eastAsia="Times New Roman" w:hAnsi="Times New Roman" w:cs="Times New Roman"/>
          <w:sz w:val="24"/>
        </w:rPr>
        <w:t>с даты заключения</w:t>
      </w:r>
      <w:proofErr w:type="gramEnd"/>
      <w:r>
        <w:rPr>
          <w:rFonts w:ascii="Times New Roman" w:eastAsia="Times New Roman" w:hAnsi="Times New Roman" w:cs="Times New Roman"/>
          <w:sz w:val="24"/>
        </w:rPr>
        <w:t xml:space="preserve"> с ним Договора аренды; и возвращаются участнику процедуры Аренды, заявке на </w:t>
      </w:r>
      <w:proofErr w:type="gramStart"/>
      <w:r>
        <w:rPr>
          <w:rFonts w:ascii="Times New Roman" w:eastAsia="Times New Roman" w:hAnsi="Times New Roman" w:cs="Times New Roman"/>
          <w:sz w:val="24"/>
        </w:rPr>
        <w:t>участие</w:t>
      </w:r>
      <w:proofErr w:type="gramEnd"/>
      <w:r>
        <w:rPr>
          <w:rFonts w:ascii="Times New Roman" w:eastAsia="Times New Roman" w:hAnsi="Times New Roman" w:cs="Times New Roman"/>
          <w:sz w:val="24"/>
        </w:rPr>
        <w:t xml:space="preserve"> в процедуре Аренды которого присвоен второй номер, в течение пяти рабочих дней с даты подписания Договора аренды с победителем процедуры Аренды или с таким участником процедуры Аренды.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3.9. Уведомление об отзыве Заявки направляется Претендентом Оператору посредством ЭП «РТС-тендер» и подписывается ЭЦП Претендента. Блокирование средств Гарантийного обеспечения в счёт задатка по такой Заявке прекращается в течение одного дня с момента получения Оператором уведомления об отзыве заявки. Оператор посредством ЭП «РТС-тендер» незамедлительно уведомляет Продавца об отзыве заявки и о возврате задатка Претенденту.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3.10. Задаток Участника подлежат передаче в собственность Продавца на основании соответствующего поручения Продавца в случае отказа Участника от заключения договора (признания Участника уклонившимся от заключения договора по итогам процедуры Продажи) или отказа Участника от права пользования участком недр. Передача задатка Продавцу производится Оператором не позднее 5 (Пяти) рабочих дней с момента получения Оператором от Продавца соответствующего поручения и уведомления об отказе Участника от заключения договора и/или признании Участника уклонившимся от заключения по итогам процедуры Продажи договора.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3.11. Внесение </w:t>
      </w:r>
      <w:proofErr w:type="gramStart"/>
      <w:r>
        <w:rPr>
          <w:rFonts w:ascii="Times New Roman" w:eastAsia="Times New Roman" w:hAnsi="Times New Roman" w:cs="Times New Roman"/>
          <w:sz w:val="24"/>
        </w:rPr>
        <w:t>средств гарантийного обеспечения оплаты оказания услуг</w:t>
      </w:r>
      <w:proofErr w:type="gramEnd"/>
      <w:r>
        <w:rPr>
          <w:rFonts w:ascii="Times New Roman" w:eastAsia="Times New Roman" w:hAnsi="Times New Roman" w:cs="Times New Roman"/>
          <w:sz w:val="24"/>
        </w:rPr>
        <w:t xml:space="preserve"> осуществляется в порядке, установленном пунктами 3.1., 3.2. настоящего Соглашения.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3.12. Прекращение блокирования и/или списание </w:t>
      </w:r>
      <w:proofErr w:type="gramStart"/>
      <w:r>
        <w:rPr>
          <w:rFonts w:ascii="Times New Roman" w:eastAsia="Times New Roman" w:hAnsi="Times New Roman" w:cs="Times New Roman"/>
          <w:sz w:val="24"/>
        </w:rPr>
        <w:t>средств гарантийного обеспечения оплаты оказания услуг</w:t>
      </w:r>
      <w:proofErr w:type="gramEnd"/>
      <w:r>
        <w:rPr>
          <w:rFonts w:ascii="Times New Roman" w:eastAsia="Times New Roman" w:hAnsi="Times New Roman" w:cs="Times New Roman"/>
          <w:sz w:val="24"/>
        </w:rPr>
        <w:t xml:space="preserve"> осуществляется в случаях, установленных Тарифами, опубликованными по адресу в сети Интернет https://www.rts-tender.ru/tariffs/platform-property-sales-tariffs.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3.13. Претендент вправе требовать возврата средств Гарантийного обеспечения и/или средств гарантийного обеспечения оплаты услуг в пределах суммы остатка свободных средств, учитываемых на Аналитическом счете Претендента, с указанием суммы денежных средств, подлежащих возврату. Перечисление указанных денежных средств осуществляется со Счета Оператора на расчетный счет, указанный в заявлении на возврат средств, в течение 3 (Трех) рабочих дней со дня получения Оператором соответствующего заявления от Претендента. При этом такое списание не осуществляется, если остаток свободных средств, учитываемых на Аналитическом счете Претендента, меньше указанной суммы.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3.14. Заявление на возврат средств Гарантийного обеспечение и/или средств гарантийного обеспечения оплаты услуг направляется Оператору в электронном виде средствами ЭП «РТС-тендер» по форме, установленной Приложением № 1 к Соглашению, и подписывается Электронной подписью Претендента.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Ответственность Сторон</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 Оператор не несет ответственности: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4.1.1. за ошибки или задержки платежей, допущенные другими расчетными организациями, а также не отвечает за последствия, связанные с финансовым положением других расчетных организаций;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за ошибочное перечисление (не перечисление) денежных средств, связанное с неправильным указанием Претендентом в платежных документах и/или заявлении на возврат </w:t>
      </w:r>
      <w:proofErr w:type="gramStart"/>
      <w:r>
        <w:rPr>
          <w:rFonts w:ascii="Times New Roman" w:eastAsia="Times New Roman" w:hAnsi="Times New Roman" w:cs="Times New Roman"/>
          <w:sz w:val="24"/>
        </w:rPr>
        <w:t>средств Гарантийного обеспечения реквизитов получателя средств</w:t>
      </w:r>
      <w:proofErr w:type="gramEnd"/>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4.1.3. за ошибочное перечисление (не перечисление) денежных средств, связанное с неправильным указанием Продавцом в платежных документах и/или распоряжении на списание </w:t>
      </w:r>
      <w:proofErr w:type="gramStart"/>
      <w:r>
        <w:rPr>
          <w:rFonts w:ascii="Times New Roman" w:eastAsia="Times New Roman" w:hAnsi="Times New Roman" w:cs="Times New Roman"/>
          <w:sz w:val="24"/>
        </w:rPr>
        <w:t>средств Гарантийного обеспечения реквизитов получателя средств</w:t>
      </w:r>
      <w:proofErr w:type="gramEnd"/>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4.1.4. за ошибочное перечисление (не перечисление) денежных средств, связанное с подписанием платежных документов и/или заявления на возврат средств Гарантийного обеспечения не уполномоченным на то представителем Претендента или представителем Претендента за пределами предоставленных ему полномочий;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4.1.5. за ошибочное перечисление (не перечисление) денежных средств, связанное с подписанием платежных документов и/или распоряжения на списание средств Гарантийного обеспечения не уполномоченным на то представителем Продавца или представителем Продавца за пределами предоставленных ему полномочий.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Претендент и Продавец несут ответственность за достоверность и полноту сведений, подлинность документов, предоставляемых Оператору и друг другу.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 </w:t>
      </w:r>
      <w:proofErr w:type="gramStart"/>
      <w:r>
        <w:rPr>
          <w:rFonts w:ascii="Times New Roman" w:eastAsia="Times New Roman" w:hAnsi="Times New Roman" w:cs="Times New Roman"/>
          <w:sz w:val="24"/>
        </w:rPr>
        <w:t xml:space="preserve">Сторона, исполнившая свои обязательства по Соглашению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roofErr w:type="gramEnd"/>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 Оператор несет ответственность за своевременный возврат Претенденту средств Гарантийного обеспечения в случаях, на условиях и за исключениями, установленными Соглашением.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4.5. Оператор несет ответственность за своевременное перечисление Продавцу средств Гарантийного обеспечения в случаях, на условиях и за исключениями, установленными Соглашением.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4.6. Оператор освобождается от обязанности вернуть средства Гарантийного обеспечения Претенденту и, соответственно, вправе отказать в возврате таких средств, если: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4.6.1. Претендентом нарушены требования настоящего Соглашения, устанавливающие порядок и условия возврата средств;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4.6.2. на момент получения Оператором заявления Претендента на возврат средств Гарантийного обеспечения в отношении Счёта Оператора Банком России введен мораторий на удовлетворение требований кредиторов Оператора в соответствии с законодательством Российской Федерации;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4.6.3. на момент получения Оператором заявления Претендента на возврат средств Гарантийного обеспечения у банка, в котором открыт Счет Оператора, на котором учитываются средства Гарантийного обеспечения, Банком России отозвана (аннулирована) лицензия на осуществление банковских операций.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4.7. </w:t>
      </w:r>
      <w:proofErr w:type="gramStart"/>
      <w:r>
        <w:rPr>
          <w:rFonts w:ascii="Times New Roman" w:eastAsia="Times New Roman" w:hAnsi="Times New Roman" w:cs="Times New Roman"/>
          <w:sz w:val="24"/>
        </w:rPr>
        <w:t>В случае отзыва (аннулирования) лицензии Банком России на осуществление банковских операций у банка, в котором открыт Счет Оператора,  на котором учитывались средства Гарантийного обеспечения, Оператор обязуется предпринять все необходимые законные меры по предъявлению к такому банку требования кредитора в целях возврата средств Гарантийного обеспечения в соответствии с Федеральным законом от 02.12.1990 № 3951 «О банках и банковской деятельности» и Федеральным законом</w:t>
      </w:r>
      <w:proofErr w:type="gramEnd"/>
      <w:r>
        <w:rPr>
          <w:rFonts w:ascii="Times New Roman" w:eastAsia="Times New Roman" w:hAnsi="Times New Roman" w:cs="Times New Roman"/>
          <w:sz w:val="24"/>
        </w:rPr>
        <w:t xml:space="preserve"> от 26.10.2002 № 127-ФЗ «О несостоятельности (банкротстве)». Оператор обязуется вернуть Претенденту денежные средства в том объеме, в котором они будут получены в результате удовлетворения требования Оператора как кредитора банка.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4.8. Освобождение Оператора от обязанности по возврату средств Гарантийного обеспечения в случае, указанном в п. 4.6.1. Соглашения, действует до момента устранения нарушений требований Соглашения, устанавливающих порядок и условия возврата средств.</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4.9. Освобождение Оператора от обязанности по возврату средств Гарантийного обеспечения в случае, указанном в п. 4.6.2. Соглашения, действует до момента истечения срока действия моратория на удовлетворение требований кредиторов Продавца в соответствии с законодательством Российской Федерации.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Конфиденциальность</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5.1. Каждая из Сторон обязана обеспечивать конфиденциальность любой информации, ставшей известной Стороне в ходе обмена с помощью ЭП «РТС-тендер» документами и </w:t>
      </w:r>
      <w:r>
        <w:rPr>
          <w:rFonts w:ascii="Times New Roman" w:eastAsia="Times New Roman" w:hAnsi="Times New Roman" w:cs="Times New Roman"/>
          <w:sz w:val="24"/>
        </w:rPr>
        <w:lastRenderedPageBreak/>
        <w:t xml:space="preserve">сведениями, если такая информация является конфиденциальной или информацией, составляющей коммерческую тайну. Раскрытие или предоставление такой информации третьим лицам допускается только по предварительному письменному согласию Стороны, предоставившей такую информацию, за исключением случаев ее раскрытия или предоставления в соответствии с законодательством Российской Федерации или настоящего Соглашения.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 Каждая из Сторон обязуется ограничить круг сотрудников, имеющих доступ к информации, указанной в пункте 5.1. Соглашения, теми сотрудниками, которым такая информация необходима для надлежащего исполнения Стороной своих обязательств по Соглашению.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Обстоятельства непреодолимой силы</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 Стороны освобождаются от ответственности за полное или частичное неисполнение принятых на себя по настоящему Соглашению обязательств, если такое неисполнение явилось следствием обстоятельств непреодолимой силы, а именно: стихийных бедствий, эпидемий, взрывов, пожаров и иных чрезвычайных обстоятельств. При этом срок исполнения обязательств по Соглашению отодвигается соразмерно времени, в течение которого действовали такие обстоятельства.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Сторона, для которой наступили обстоятельства непреодолимой силы, должна незамедлительно известить в письменной форме (в том числе в форме электронного документа, переданного при помощи ЭП «РТС-тендер») Оператора о наступлении, предполагаемом сроке действия и прекращении действия обстоятельств непреодолимой силы, а также представить доказательства названных обстоятельств. </w:t>
      </w:r>
    </w:p>
    <w:p w:rsidR="001079C2" w:rsidRDefault="001079C2">
      <w:pPr>
        <w:spacing w:after="0" w:line="240" w:lineRule="auto"/>
        <w:jc w:val="both"/>
        <w:rPr>
          <w:rFonts w:ascii="Times New Roman" w:eastAsia="Times New Roman" w:hAnsi="Times New Roman" w:cs="Times New Roman"/>
          <w:sz w:val="24"/>
        </w:rPr>
      </w:pP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Разрешение споров</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 Стороны должны приложить все усилия, чтобы путем прямых переговоров, в претензионном порядке разрешить к обоюдному удовлетворению все противоречия или спорные вопросы, возникающие между ними в рамках настоящего Соглашения, на основании законодательства Российской Федерации.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Любая Сторона может потребовать разрешения неурегулированного спорного вопроса в судебном порядке. Спор подлежит рассмотрению в Арбитражном суде г. Москвы в соответствии с законодательством Российской Федерации.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 Заключительные положения</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8.1. Каждая из Сторон заключила Соглашение,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Соглашение:</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8.1.1. </w:t>
      </w:r>
      <w:proofErr w:type="gramStart"/>
      <w:r>
        <w:rPr>
          <w:rFonts w:ascii="Times New Roman" w:eastAsia="Times New Roman" w:hAnsi="Times New Roman" w:cs="Times New Roman"/>
          <w:sz w:val="24"/>
        </w:rPr>
        <w:t>Другая Сторона является одним из следующих: - федеральным органом исполнительной власти или органом исполнительной власти субъекта РФ или органом местного самоуправления; - действующим юридическим лицом, в отношении которого не принято решение о ликвидации или о признании несостоятельным (банкротом); - индивидуальным предпринимателем, не лишённым дееспособности полностью или частично и в отношении которого не принято решение о ликвидации или о признании несостоятельным (банкротом);</w:t>
      </w:r>
      <w:proofErr w:type="gramEnd"/>
      <w:r>
        <w:rPr>
          <w:rFonts w:ascii="Times New Roman" w:eastAsia="Times New Roman" w:hAnsi="Times New Roman" w:cs="Times New Roman"/>
          <w:sz w:val="24"/>
        </w:rPr>
        <w:t xml:space="preserve"> - физическим лицом, не лишённым дееспособности полностью или частично и в отношении которого не принято решение о признании несостоятельным (банкротом).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8.1.2. Представитель другой Стороны, подписывающий Соглашение, имеет все полномочия, необходимые для заключения им Соглашения от ее имени.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8.1.3. 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ею Соглашения.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8.1.4. Не существует никаких других, зависящих от другой Стороны, правовых препятствий для заключения и исполнения ею Соглашения.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8.2. Настоящее Соглашение заключается Продавцом и Претендентом присоединением – посредством подписания Электронными подписями соответствующего заявления о присоединении, размещённого на ЭП «РТС-тендер».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8.3. При заключении Соглашения и подписании документов на ЭП «РТС-тендер» Сторонами используются те типы электронных подписей, использование которых необходимо в силу закона, соглашения с Оператором или Регламента.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8.4. Заключение Соглашения Претендентом, Продавцом с помощью Электронной подписи на ЭП «РТС-тендер» означает, что Соглашение направлено от имени данных лиц и признается равнозначным документу на бумажном носителе, подписанному собственноручной подписью.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8.5. Оператор осуществляет проверку Электронной подписи Продавца и Претендента на предмет её действительности и принадлежности к подписываемому документу.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 Реквизиты</w:t>
      </w:r>
    </w:p>
    <w:p w:rsidR="001079C2" w:rsidRDefault="001079C2">
      <w:pPr>
        <w:spacing w:after="0" w:line="240"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9345"/>
      </w:tblGrid>
      <w:tr w:rsidR="001079C2">
        <w:trPr>
          <w:trHeight w:val="1"/>
        </w:trPr>
        <w:tc>
          <w:tcPr>
            <w:tcW w:w="9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9C2" w:rsidRDefault="00464635">
            <w:pPr>
              <w:spacing w:after="0" w:line="240" w:lineRule="auto"/>
              <w:jc w:val="both"/>
            </w:pPr>
            <w:r>
              <w:rPr>
                <w:rFonts w:ascii="Times New Roman" w:eastAsia="Times New Roman" w:hAnsi="Times New Roman" w:cs="Times New Roman"/>
                <w:b/>
                <w:sz w:val="24"/>
              </w:rPr>
              <w:t>Оператор:</w:t>
            </w:r>
          </w:p>
        </w:tc>
      </w:tr>
      <w:tr w:rsidR="001079C2">
        <w:trPr>
          <w:trHeight w:val="1"/>
        </w:trPr>
        <w:tc>
          <w:tcPr>
            <w:tcW w:w="9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Наименование: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Общество с ограниченной ответственностью «РТС-тендер»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ИНН 7710357167 </w:t>
            </w:r>
          </w:p>
          <w:p w:rsidR="001079C2" w:rsidRDefault="00464635">
            <w:pPr>
              <w:spacing w:after="0" w:line="240" w:lineRule="auto"/>
              <w:jc w:val="both"/>
            </w:pPr>
            <w:r>
              <w:rPr>
                <w:rFonts w:ascii="Times New Roman" w:eastAsia="Times New Roman" w:hAnsi="Times New Roman" w:cs="Times New Roman"/>
                <w:sz w:val="24"/>
              </w:rPr>
              <w:t xml:space="preserve">ОГРН 1027739521666 </w:t>
            </w:r>
          </w:p>
        </w:tc>
      </w:tr>
    </w:tbl>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1079C2">
      <w:pPr>
        <w:spacing w:after="0" w:line="240" w:lineRule="auto"/>
        <w:jc w:val="both"/>
        <w:rPr>
          <w:rFonts w:ascii="Times New Roman" w:eastAsia="Times New Roman" w:hAnsi="Times New Roman" w:cs="Times New Roman"/>
          <w:sz w:val="24"/>
        </w:rPr>
      </w:pP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1079C2">
      <w:pPr>
        <w:spacing w:after="0" w:line="240" w:lineRule="auto"/>
        <w:jc w:val="both"/>
        <w:rPr>
          <w:rFonts w:ascii="Times New Roman" w:eastAsia="Times New Roman" w:hAnsi="Times New Roman" w:cs="Times New Roman"/>
          <w:sz w:val="24"/>
        </w:rPr>
      </w:pPr>
    </w:p>
    <w:p w:rsidR="001079C2" w:rsidRDefault="0046463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1 </w:t>
      </w:r>
    </w:p>
    <w:p w:rsidR="001079C2" w:rsidRDefault="0046463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Соглашению о внесении гарантийного обеспечения </w:t>
      </w:r>
    </w:p>
    <w:p w:rsidR="001079C2" w:rsidRDefault="0046463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 xml:space="preserve">Форма Заявления на возврат средств Гарантийного обеспечения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Оператору ЭП «РТС-тендер» </w:t>
      </w:r>
    </w:p>
    <w:p w:rsidR="001079C2" w:rsidRDefault="0046463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ООО «РТС-тендер» </w:t>
      </w:r>
    </w:p>
    <w:p w:rsidR="001079C2" w:rsidRDefault="0046463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Заявление на возврат средств Гарантийного обеспечения</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079C2" w:rsidRDefault="004646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Настоящим прошу денежные средства _____________ (</w:t>
      </w:r>
      <w:r>
        <w:rPr>
          <w:rFonts w:ascii="Times New Roman" w:eastAsia="Times New Roman" w:hAnsi="Times New Roman" w:cs="Times New Roman"/>
          <w:i/>
          <w:sz w:val="24"/>
        </w:rPr>
        <w:t>наименование, ИНН Претендента</w:t>
      </w:r>
      <w:r>
        <w:rPr>
          <w:rFonts w:ascii="Times New Roman" w:eastAsia="Times New Roman" w:hAnsi="Times New Roman" w:cs="Times New Roman"/>
          <w:sz w:val="24"/>
        </w:rPr>
        <w:t>) в размере</w:t>
      </w:r>
      <w:proofErr w:type="gramStart"/>
      <w:r>
        <w:rPr>
          <w:rFonts w:ascii="Times New Roman" w:eastAsia="Times New Roman" w:hAnsi="Times New Roman" w:cs="Times New Roman"/>
          <w:sz w:val="24"/>
        </w:rPr>
        <w:t xml:space="preserve"> ______ (___________) </w:t>
      </w:r>
      <w:proofErr w:type="gramEnd"/>
      <w:r>
        <w:rPr>
          <w:rFonts w:ascii="Times New Roman" w:eastAsia="Times New Roman" w:hAnsi="Times New Roman" w:cs="Times New Roman"/>
          <w:sz w:val="24"/>
        </w:rPr>
        <w:t xml:space="preserve">рублей вернуть на расчетный счет по следующим реквизитам: </w:t>
      </w:r>
    </w:p>
    <w:p w:rsidR="001079C2" w:rsidRDefault="001079C2">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9345"/>
      </w:tblGrid>
      <w:tr w:rsidR="001079C2">
        <w:trPr>
          <w:trHeight w:val="1"/>
        </w:trPr>
        <w:tc>
          <w:tcPr>
            <w:tcW w:w="9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9C2" w:rsidRDefault="00464635">
            <w:pPr>
              <w:spacing w:after="0" w:line="240" w:lineRule="auto"/>
              <w:jc w:val="both"/>
            </w:pPr>
            <w:r>
              <w:rPr>
                <w:rFonts w:ascii="Times New Roman" w:eastAsia="Times New Roman" w:hAnsi="Times New Roman" w:cs="Times New Roman"/>
                <w:sz w:val="24"/>
              </w:rPr>
              <w:t xml:space="preserve">Наименование получателя платежа  </w:t>
            </w:r>
          </w:p>
        </w:tc>
      </w:tr>
      <w:tr w:rsidR="001079C2">
        <w:trPr>
          <w:trHeight w:val="1"/>
        </w:trPr>
        <w:tc>
          <w:tcPr>
            <w:tcW w:w="9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9C2" w:rsidRDefault="00464635">
            <w:pPr>
              <w:spacing w:after="0" w:line="240" w:lineRule="auto"/>
              <w:jc w:val="both"/>
            </w:pPr>
            <w:r>
              <w:rPr>
                <w:rFonts w:ascii="Times New Roman" w:eastAsia="Times New Roman" w:hAnsi="Times New Roman" w:cs="Times New Roman"/>
                <w:sz w:val="24"/>
              </w:rPr>
              <w:t xml:space="preserve">ИНН/КПП получателя платежа  </w:t>
            </w:r>
          </w:p>
        </w:tc>
      </w:tr>
      <w:tr w:rsidR="001079C2">
        <w:trPr>
          <w:trHeight w:val="1"/>
        </w:trPr>
        <w:tc>
          <w:tcPr>
            <w:tcW w:w="9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9C2" w:rsidRDefault="00464635">
            <w:pPr>
              <w:spacing w:after="0" w:line="240" w:lineRule="auto"/>
              <w:jc w:val="both"/>
            </w:pPr>
            <w:r>
              <w:rPr>
                <w:rFonts w:ascii="Times New Roman" w:eastAsia="Times New Roman" w:hAnsi="Times New Roman" w:cs="Times New Roman"/>
                <w:sz w:val="24"/>
              </w:rPr>
              <w:t xml:space="preserve">№ счета  </w:t>
            </w:r>
          </w:p>
        </w:tc>
      </w:tr>
      <w:tr w:rsidR="001079C2">
        <w:trPr>
          <w:trHeight w:val="1"/>
        </w:trPr>
        <w:tc>
          <w:tcPr>
            <w:tcW w:w="9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9C2" w:rsidRDefault="00464635">
            <w:pPr>
              <w:spacing w:after="0" w:line="240" w:lineRule="auto"/>
              <w:jc w:val="both"/>
            </w:pPr>
            <w:r>
              <w:rPr>
                <w:rFonts w:ascii="Times New Roman" w:eastAsia="Times New Roman" w:hAnsi="Times New Roman" w:cs="Times New Roman"/>
                <w:sz w:val="24"/>
              </w:rPr>
              <w:t xml:space="preserve">Наименование банка  </w:t>
            </w:r>
          </w:p>
        </w:tc>
      </w:tr>
      <w:tr w:rsidR="001079C2">
        <w:trPr>
          <w:trHeight w:val="1"/>
        </w:trPr>
        <w:tc>
          <w:tcPr>
            <w:tcW w:w="9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9C2" w:rsidRDefault="00464635">
            <w:pPr>
              <w:spacing w:after="0" w:line="240" w:lineRule="auto"/>
              <w:jc w:val="both"/>
            </w:pPr>
            <w:r>
              <w:rPr>
                <w:rFonts w:ascii="Times New Roman" w:eastAsia="Times New Roman" w:hAnsi="Times New Roman" w:cs="Times New Roman"/>
                <w:sz w:val="24"/>
              </w:rPr>
              <w:t xml:space="preserve">к/с  </w:t>
            </w:r>
          </w:p>
        </w:tc>
      </w:tr>
      <w:tr w:rsidR="001079C2">
        <w:trPr>
          <w:trHeight w:val="1"/>
        </w:trPr>
        <w:tc>
          <w:tcPr>
            <w:tcW w:w="9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9C2" w:rsidRDefault="00464635">
            <w:pPr>
              <w:spacing w:after="0" w:line="240" w:lineRule="auto"/>
              <w:jc w:val="both"/>
            </w:pPr>
            <w:r>
              <w:rPr>
                <w:rFonts w:ascii="Times New Roman" w:eastAsia="Times New Roman" w:hAnsi="Times New Roman" w:cs="Times New Roman"/>
                <w:sz w:val="24"/>
              </w:rPr>
              <w:t>БИК</w:t>
            </w:r>
          </w:p>
        </w:tc>
      </w:tr>
    </w:tbl>
    <w:p w:rsidR="001079C2" w:rsidRDefault="001079C2">
      <w:pPr>
        <w:spacing w:after="0" w:line="240" w:lineRule="auto"/>
        <w:jc w:val="both"/>
        <w:rPr>
          <w:rFonts w:ascii="Times New Roman" w:eastAsia="Times New Roman" w:hAnsi="Times New Roman" w:cs="Times New Roman"/>
          <w:sz w:val="24"/>
        </w:rPr>
      </w:pPr>
    </w:p>
    <w:sectPr w:rsidR="00107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079C2"/>
    <w:rsid w:val="001079C2"/>
    <w:rsid w:val="0016598E"/>
    <w:rsid w:val="00464635"/>
    <w:rsid w:val="00CB44FC"/>
    <w:rsid w:val="00E6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5505</Words>
  <Characters>31382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2020-03-26T12:23:00Z</dcterms:created>
  <dcterms:modified xsi:type="dcterms:W3CDTF">2020-10-29T08:14:00Z</dcterms:modified>
</cp:coreProperties>
</file>