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2C57F0" w:rsidRDefault="002C57F0"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2C57F0" w:rsidRDefault="002C57F0" w:rsidP="002C57F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501061" w:rsidRPr="00BE2374" w:rsidRDefault="00501061"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2C57F0" w:rsidRDefault="002C57F0"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2C57F0" w:rsidRDefault="002C57F0" w:rsidP="002C57F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501061" w:rsidRPr="00BE2374" w:rsidRDefault="00501061"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proofErr w:type="gramStart"/>
            <w:r w:rsidR="002722AB">
              <w:rPr>
                <w:b/>
                <w:bCs/>
              </w:rPr>
              <w:t>1</w:t>
            </w:r>
            <w:r w:rsidR="00B401C6">
              <w:rPr>
                <w:b/>
                <w:bCs/>
              </w:rPr>
              <w:t>9</w:t>
            </w:r>
            <w:r w:rsidR="00E03F40">
              <w:rPr>
                <w:b/>
                <w:bCs/>
              </w:rPr>
              <w:t xml:space="preserve">  от</w:t>
            </w:r>
            <w:proofErr w:type="gramEnd"/>
            <w:r w:rsidR="00E03F40">
              <w:rPr>
                <w:b/>
                <w:bCs/>
              </w:rPr>
              <w:t xml:space="preserve">  </w:t>
            </w:r>
            <w:r w:rsidR="00B401C6">
              <w:rPr>
                <w:b/>
                <w:bCs/>
              </w:rPr>
              <w:t>17</w:t>
            </w:r>
            <w:r w:rsidR="008E0396">
              <w:rPr>
                <w:b/>
                <w:bCs/>
              </w:rPr>
              <w:t xml:space="preserve"> </w:t>
            </w:r>
            <w:r w:rsidR="00B401C6">
              <w:rPr>
                <w:b/>
                <w:bCs/>
              </w:rPr>
              <w:t>июн</w:t>
            </w:r>
            <w:r w:rsidR="002722AB">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w:t>
            </w:r>
            <w:proofErr w:type="gramStart"/>
            <w:r w:rsidR="0035434B">
              <w:t>Тираж  5</w:t>
            </w:r>
            <w:proofErr w:type="gramEnd"/>
            <w:r>
              <w:t xml:space="preserve"> экз.  </w:t>
            </w:r>
          </w:p>
        </w:tc>
      </w:tr>
    </w:tbl>
    <w:p w:rsidR="000C709B" w:rsidRDefault="000C709B" w:rsidP="00EB5986">
      <w:pPr>
        <w:jc w:val="center"/>
        <w:rPr>
          <w:b/>
          <w:bCs/>
          <w:sz w:val="20"/>
          <w:szCs w:val="20"/>
        </w:rPr>
      </w:pPr>
    </w:p>
    <w:p w:rsidR="000142AE" w:rsidRPr="007C2F42" w:rsidRDefault="000142AE" w:rsidP="00EB5986">
      <w:pPr>
        <w:jc w:val="center"/>
        <w:rPr>
          <w:b/>
          <w:bCs/>
        </w:rPr>
      </w:pPr>
      <w:r w:rsidRPr="007C2F42">
        <w:rPr>
          <w:b/>
          <w:bCs/>
        </w:rPr>
        <w:t>Содержание</w:t>
      </w:r>
    </w:p>
    <w:p w:rsidR="0082467D" w:rsidRDefault="0082467D" w:rsidP="002722AB">
      <w:pPr>
        <w:jc w:val="both"/>
        <w:rPr>
          <w:sz w:val="20"/>
          <w:szCs w:val="20"/>
        </w:rPr>
      </w:pPr>
    </w:p>
    <w:p w:rsidR="00B401C6" w:rsidRPr="00B401C6" w:rsidRDefault="00B401C6" w:rsidP="00B401C6">
      <w:pPr>
        <w:jc w:val="both"/>
        <w:rPr>
          <w:sz w:val="22"/>
        </w:rPr>
      </w:pPr>
      <w:r w:rsidRPr="00B401C6">
        <w:rPr>
          <w:b/>
          <w:sz w:val="22"/>
        </w:rPr>
        <w:t>Постановление администрации Сандогорского сельского поселения от 17.06.2021 №35</w:t>
      </w:r>
      <w:r w:rsidRPr="00B401C6">
        <w:rPr>
          <w:sz w:val="22"/>
        </w:rPr>
        <w:t xml:space="preserve"> «О введении режима повышенной готовности на территории Сандогорского сельского поселения Костромского муниципального района Костромской </w:t>
      </w:r>
      <w:proofErr w:type="gramStart"/>
      <w:r w:rsidRPr="00B401C6">
        <w:rPr>
          <w:sz w:val="22"/>
        </w:rPr>
        <w:t>области»…</w:t>
      </w:r>
      <w:proofErr w:type="gramEnd"/>
      <w:r w:rsidRPr="00B401C6">
        <w:rPr>
          <w:sz w:val="22"/>
        </w:rPr>
        <w:t>…………………………………</w:t>
      </w:r>
      <w:r>
        <w:rPr>
          <w:sz w:val="22"/>
        </w:rPr>
        <w:t>...</w:t>
      </w:r>
      <w:r w:rsidRPr="00B401C6">
        <w:rPr>
          <w:sz w:val="22"/>
        </w:rPr>
        <w:t>….1</w:t>
      </w:r>
    </w:p>
    <w:p w:rsidR="00B401C6" w:rsidRPr="00B401C6" w:rsidRDefault="00B401C6" w:rsidP="00B401C6">
      <w:pPr>
        <w:jc w:val="both"/>
        <w:rPr>
          <w:sz w:val="22"/>
        </w:rPr>
      </w:pPr>
      <w:r w:rsidRPr="00B401C6">
        <w:rPr>
          <w:b/>
          <w:sz w:val="22"/>
        </w:rPr>
        <w:t>Информация прокуратуры</w:t>
      </w:r>
      <w:r w:rsidRPr="00B401C6">
        <w:rPr>
          <w:sz w:val="22"/>
        </w:rPr>
        <w:t>…………………………………………………………………………</w:t>
      </w:r>
      <w:proofErr w:type="gramStart"/>
      <w:r w:rsidRPr="00B401C6">
        <w:rPr>
          <w:sz w:val="22"/>
        </w:rPr>
        <w:t>……</w:t>
      </w:r>
      <w:r w:rsidR="008A577C">
        <w:rPr>
          <w:sz w:val="22"/>
        </w:rPr>
        <w:t>.</w:t>
      </w:r>
      <w:proofErr w:type="gramEnd"/>
      <w:r w:rsidRPr="00B401C6">
        <w:rPr>
          <w:sz w:val="22"/>
        </w:rPr>
        <w:t>2</w:t>
      </w:r>
    </w:p>
    <w:p w:rsidR="00B401C6" w:rsidRPr="00B401C6" w:rsidRDefault="00B401C6" w:rsidP="00B401C6">
      <w:pPr>
        <w:jc w:val="center"/>
        <w:rPr>
          <w:sz w:val="22"/>
        </w:rPr>
      </w:pPr>
    </w:p>
    <w:p w:rsidR="00B401C6" w:rsidRPr="00B401C6" w:rsidRDefault="00B401C6" w:rsidP="00B401C6">
      <w:pPr>
        <w:jc w:val="center"/>
        <w:rPr>
          <w:sz w:val="22"/>
        </w:rPr>
      </w:pPr>
      <w:r w:rsidRPr="00B401C6">
        <w:rPr>
          <w:sz w:val="22"/>
        </w:rPr>
        <w:t>*****</w:t>
      </w:r>
    </w:p>
    <w:p w:rsidR="00B401C6" w:rsidRPr="00B401C6" w:rsidRDefault="00B401C6" w:rsidP="00B401C6">
      <w:pPr>
        <w:jc w:val="center"/>
        <w:rPr>
          <w:sz w:val="22"/>
        </w:rPr>
      </w:pPr>
    </w:p>
    <w:p w:rsidR="00B401C6" w:rsidRPr="00B401C6" w:rsidRDefault="00B401C6" w:rsidP="00B401C6">
      <w:pPr>
        <w:jc w:val="center"/>
        <w:rPr>
          <w:sz w:val="22"/>
        </w:rPr>
      </w:pPr>
      <w:r w:rsidRPr="00B401C6">
        <w:rPr>
          <w:sz w:val="22"/>
        </w:rPr>
        <w:t>АДМИНИСТРАЦИЯ САНДОГОРСКОГО СЕЛЬСКОГО ПОСЕЛЕНИЯ</w:t>
      </w:r>
    </w:p>
    <w:p w:rsidR="00B401C6" w:rsidRPr="00B401C6" w:rsidRDefault="00B401C6" w:rsidP="00B401C6">
      <w:pPr>
        <w:jc w:val="center"/>
        <w:rPr>
          <w:sz w:val="22"/>
        </w:rPr>
      </w:pPr>
      <w:r w:rsidRPr="00B401C6">
        <w:rPr>
          <w:sz w:val="22"/>
        </w:rPr>
        <w:t>КОСТРОМСКОГО МУНИЦИПАЛЬНОГО РАЙОНА КОСТРОМСКОЙ ОБЛАСТИ</w:t>
      </w:r>
    </w:p>
    <w:p w:rsidR="00B401C6" w:rsidRPr="00B401C6" w:rsidRDefault="00B401C6" w:rsidP="00B401C6">
      <w:pPr>
        <w:jc w:val="center"/>
        <w:rPr>
          <w:b/>
          <w:sz w:val="22"/>
        </w:rPr>
      </w:pPr>
      <w:r w:rsidRPr="00B401C6">
        <w:rPr>
          <w:b/>
          <w:sz w:val="22"/>
        </w:rPr>
        <w:t>П О С Т А Н О В Л Е Н И Е</w:t>
      </w:r>
    </w:p>
    <w:p w:rsidR="00B401C6" w:rsidRPr="00B401C6" w:rsidRDefault="00B401C6" w:rsidP="00B401C6">
      <w:pPr>
        <w:jc w:val="center"/>
        <w:rPr>
          <w:sz w:val="22"/>
        </w:rPr>
      </w:pPr>
      <w:r w:rsidRPr="00B401C6">
        <w:rPr>
          <w:sz w:val="22"/>
        </w:rPr>
        <w:t xml:space="preserve">от «17» июня 2021 </w:t>
      </w:r>
      <w:proofErr w:type="gramStart"/>
      <w:r w:rsidRPr="00B401C6">
        <w:rPr>
          <w:sz w:val="22"/>
        </w:rPr>
        <w:t>года  №</w:t>
      </w:r>
      <w:proofErr w:type="gramEnd"/>
      <w:r w:rsidRPr="00B401C6">
        <w:rPr>
          <w:sz w:val="22"/>
        </w:rPr>
        <w:t xml:space="preserve"> 35                                                                                          с. </w:t>
      </w:r>
      <w:proofErr w:type="spellStart"/>
      <w:r w:rsidRPr="00B401C6">
        <w:rPr>
          <w:sz w:val="22"/>
        </w:rPr>
        <w:t>Сандогора</w:t>
      </w:r>
      <w:proofErr w:type="spellEnd"/>
    </w:p>
    <w:p w:rsidR="00B401C6" w:rsidRPr="00B401C6" w:rsidRDefault="00B401C6" w:rsidP="00B401C6">
      <w:pPr>
        <w:jc w:val="both"/>
        <w:rPr>
          <w:sz w:val="22"/>
        </w:rPr>
      </w:pPr>
    </w:p>
    <w:tbl>
      <w:tblPr>
        <w:tblW w:w="10657" w:type="dxa"/>
        <w:tblLook w:val="01E0" w:firstRow="1" w:lastRow="1" w:firstColumn="1" w:lastColumn="1" w:noHBand="0" w:noVBand="0"/>
      </w:tblPr>
      <w:tblGrid>
        <w:gridCol w:w="6487"/>
        <w:gridCol w:w="4170"/>
      </w:tblGrid>
      <w:tr w:rsidR="00B401C6" w:rsidRPr="00B401C6" w:rsidTr="00647945">
        <w:tc>
          <w:tcPr>
            <w:tcW w:w="6487" w:type="dxa"/>
            <w:shd w:val="clear" w:color="auto" w:fill="auto"/>
          </w:tcPr>
          <w:p w:rsidR="00B401C6" w:rsidRPr="00B401C6" w:rsidRDefault="00B401C6" w:rsidP="00B401C6">
            <w:pPr>
              <w:jc w:val="both"/>
              <w:rPr>
                <w:sz w:val="22"/>
              </w:rPr>
            </w:pPr>
            <w:r w:rsidRPr="00B401C6">
              <w:rPr>
                <w:sz w:val="22"/>
              </w:rPr>
              <w:t>О введении особого противопожарного режима на территории Сандогорского сельского поселения Костромского муниципального района Костромской области</w:t>
            </w:r>
          </w:p>
        </w:tc>
        <w:tc>
          <w:tcPr>
            <w:tcW w:w="4170" w:type="dxa"/>
            <w:shd w:val="clear" w:color="auto" w:fill="auto"/>
          </w:tcPr>
          <w:p w:rsidR="00B401C6" w:rsidRPr="00B401C6" w:rsidRDefault="00B401C6" w:rsidP="00B401C6">
            <w:pPr>
              <w:jc w:val="both"/>
              <w:rPr>
                <w:sz w:val="22"/>
              </w:rPr>
            </w:pPr>
          </w:p>
        </w:tc>
      </w:tr>
    </w:tbl>
    <w:p w:rsidR="00B401C6" w:rsidRPr="00B401C6" w:rsidRDefault="00B401C6" w:rsidP="00B401C6">
      <w:pPr>
        <w:jc w:val="both"/>
        <w:rPr>
          <w:sz w:val="22"/>
        </w:rPr>
      </w:pPr>
    </w:p>
    <w:p w:rsidR="00B401C6" w:rsidRPr="00B401C6" w:rsidRDefault="00B401C6" w:rsidP="00B401C6">
      <w:pPr>
        <w:ind w:firstLine="708"/>
        <w:jc w:val="both"/>
        <w:rPr>
          <w:sz w:val="22"/>
        </w:rPr>
      </w:pPr>
      <w:r w:rsidRPr="00B401C6">
        <w:rPr>
          <w:sz w:val="22"/>
        </w:rPr>
        <w:t xml:space="preserve">В соответствии со статьей 30 Федерального закона от 21  декабря 1994 года  №69–ФЗ </w:t>
      </w:r>
      <w:r w:rsidRPr="00B401C6">
        <w:rPr>
          <w:bCs/>
          <w:sz w:val="22"/>
        </w:rPr>
        <w:t xml:space="preserve">«О пожарной безопасности», статьей 10.1 Закона Костромской области от 22 ноября 2000 года № 124-ЗКО «О пожарной безопасности на территории Костромской области», руководствуясь </w:t>
      </w:r>
      <w:r w:rsidRPr="00B401C6">
        <w:rPr>
          <w:sz w:val="22"/>
        </w:rPr>
        <w:t>Постановлением Администрации Костромской области от 16 июня 2021 года № 263-а «О введении особого противопожарного режима на территории Костромской области», в целях предупреждения угрозы возникновения чрезвычайных ситуаций и обеспечения пожарной безопасности в пожароопасный сезон</w:t>
      </w:r>
    </w:p>
    <w:p w:rsidR="00B401C6" w:rsidRPr="00B401C6" w:rsidRDefault="00B401C6" w:rsidP="00B401C6">
      <w:pPr>
        <w:ind w:firstLine="708"/>
        <w:jc w:val="both"/>
        <w:rPr>
          <w:sz w:val="22"/>
        </w:rPr>
      </w:pPr>
      <w:r w:rsidRPr="00B401C6">
        <w:rPr>
          <w:sz w:val="22"/>
        </w:rPr>
        <w:t xml:space="preserve"> администрация ПОСТАНОВЛЯЕТ:</w:t>
      </w:r>
    </w:p>
    <w:p w:rsidR="00B401C6" w:rsidRPr="00B401C6" w:rsidRDefault="00B401C6" w:rsidP="00B401C6">
      <w:pPr>
        <w:jc w:val="both"/>
        <w:rPr>
          <w:sz w:val="22"/>
        </w:rPr>
      </w:pPr>
      <w:r w:rsidRPr="00B401C6">
        <w:rPr>
          <w:bCs/>
          <w:sz w:val="22"/>
        </w:rPr>
        <w:t>1. Ввести на территории населённых пунктов Сандогорского сельского поселения Костромского муниципального района Костромской области с 12.00 часов 17 июня 2021года особый противопожарный режим.</w:t>
      </w:r>
    </w:p>
    <w:p w:rsidR="00B401C6" w:rsidRPr="00B401C6" w:rsidRDefault="00B401C6" w:rsidP="00B401C6">
      <w:pPr>
        <w:jc w:val="both"/>
        <w:rPr>
          <w:sz w:val="22"/>
        </w:rPr>
      </w:pPr>
      <w:r w:rsidRPr="00B401C6">
        <w:rPr>
          <w:sz w:val="22"/>
        </w:rPr>
        <w:t>2. Руководителям предприятий, учреждений и организаций всех форм собственности на территории поселения:</w:t>
      </w:r>
    </w:p>
    <w:p w:rsidR="00B401C6" w:rsidRPr="00B401C6" w:rsidRDefault="00B401C6" w:rsidP="00B401C6">
      <w:pPr>
        <w:jc w:val="both"/>
        <w:rPr>
          <w:sz w:val="22"/>
        </w:rPr>
      </w:pPr>
      <w:r w:rsidRPr="00B401C6">
        <w:rPr>
          <w:sz w:val="22"/>
        </w:rPr>
        <w:t>- провести проверку противопожарного состояния подведомственных объектов, особое внимание обратить на исправность систем отопления и электрооборудования, принять меры к устранению выявленных недостатков;</w:t>
      </w:r>
    </w:p>
    <w:p w:rsidR="00B401C6" w:rsidRPr="00B401C6" w:rsidRDefault="00B401C6" w:rsidP="00B401C6">
      <w:pPr>
        <w:jc w:val="both"/>
        <w:rPr>
          <w:sz w:val="22"/>
        </w:rPr>
      </w:pPr>
      <w:r w:rsidRPr="00B401C6">
        <w:rPr>
          <w:sz w:val="22"/>
        </w:rPr>
        <w:t>- провести беседы, инструктажи на противопожарную тематику, и действиям в случае возникновения пожара;</w:t>
      </w:r>
    </w:p>
    <w:p w:rsidR="00B401C6" w:rsidRPr="00B401C6" w:rsidRDefault="00B401C6" w:rsidP="00B401C6">
      <w:pPr>
        <w:jc w:val="both"/>
        <w:rPr>
          <w:sz w:val="22"/>
        </w:rPr>
      </w:pPr>
      <w:r w:rsidRPr="00B401C6">
        <w:rPr>
          <w:sz w:val="22"/>
        </w:rPr>
        <w:t>- прилегающие территории подведомственных объектов очистить от сухой травы и сгораемого мусора;</w:t>
      </w:r>
    </w:p>
    <w:p w:rsidR="00B401C6" w:rsidRPr="00B401C6" w:rsidRDefault="00B401C6" w:rsidP="00B401C6">
      <w:pPr>
        <w:jc w:val="both"/>
        <w:rPr>
          <w:sz w:val="22"/>
        </w:rPr>
      </w:pPr>
      <w:r w:rsidRPr="00B401C6">
        <w:rPr>
          <w:sz w:val="22"/>
        </w:rPr>
        <w:t>- обеспечить объекты первичными средствами пожаротушения, системами оповещения людей о пожаре, организовать их охрану в нерабочее время;</w:t>
      </w:r>
    </w:p>
    <w:p w:rsidR="00B401C6" w:rsidRPr="00B401C6" w:rsidRDefault="00B401C6" w:rsidP="00B401C6">
      <w:pPr>
        <w:jc w:val="both"/>
        <w:rPr>
          <w:sz w:val="22"/>
        </w:rPr>
      </w:pPr>
      <w:r w:rsidRPr="00B401C6">
        <w:rPr>
          <w:sz w:val="22"/>
        </w:rPr>
        <w:t>- обеспечить беспрепятственный подъезд пожарной техники к местам пожаров и свободный доступ к источникам водозабора;</w:t>
      </w:r>
    </w:p>
    <w:p w:rsidR="008A577C" w:rsidRDefault="008A577C" w:rsidP="00B401C6">
      <w:pPr>
        <w:jc w:val="both"/>
        <w:rPr>
          <w:sz w:val="22"/>
        </w:rPr>
      </w:pPr>
    </w:p>
    <w:p w:rsidR="008A577C" w:rsidRDefault="008A577C" w:rsidP="00B401C6">
      <w:pPr>
        <w:jc w:val="both"/>
        <w:rPr>
          <w:sz w:val="22"/>
        </w:rPr>
      </w:pPr>
    </w:p>
    <w:p w:rsidR="00B401C6" w:rsidRPr="00B401C6" w:rsidRDefault="00B401C6" w:rsidP="00B401C6">
      <w:pPr>
        <w:jc w:val="both"/>
        <w:rPr>
          <w:sz w:val="22"/>
        </w:rPr>
      </w:pPr>
      <w:r w:rsidRPr="00B401C6">
        <w:rPr>
          <w:sz w:val="22"/>
        </w:rPr>
        <w:t>- привести в исправное состояние, обеспечить необходимым пожарно-техническим вооружением (ПТВ), горюче-смазочными материалами (ГСМ) имеющуюся пожарную и приспособленную для нужд пожаротушения технику.</w:t>
      </w:r>
    </w:p>
    <w:p w:rsidR="00B401C6" w:rsidRPr="00B401C6" w:rsidRDefault="00B401C6" w:rsidP="00B401C6">
      <w:pPr>
        <w:jc w:val="both"/>
        <w:rPr>
          <w:sz w:val="22"/>
        </w:rPr>
      </w:pPr>
      <w:r w:rsidRPr="00B401C6">
        <w:rPr>
          <w:sz w:val="22"/>
        </w:rPr>
        <w:t>3. Населению жилые дома и территории, прилегающие к ним, привести в надлежащее противопожарное состояние, очистить от сгораемого мусора, иметь на своей территории первичные средства пожаротушения.</w:t>
      </w:r>
    </w:p>
    <w:p w:rsidR="00B401C6" w:rsidRPr="00B401C6" w:rsidRDefault="00B401C6" w:rsidP="00B401C6">
      <w:pPr>
        <w:jc w:val="both"/>
        <w:rPr>
          <w:sz w:val="22"/>
        </w:rPr>
      </w:pPr>
      <w:r w:rsidRPr="00B401C6">
        <w:rPr>
          <w:bCs/>
          <w:sz w:val="22"/>
        </w:rPr>
        <w:t>4. Запретить устройство свалок, сжигание отходов, палы травы, разведение костров, использование мангалов и иных приспособлений для тепловой обработки пищи с помощью открытого огня.</w:t>
      </w:r>
    </w:p>
    <w:p w:rsidR="00B401C6" w:rsidRPr="00B401C6" w:rsidRDefault="00B401C6" w:rsidP="00B401C6">
      <w:pPr>
        <w:jc w:val="both"/>
        <w:rPr>
          <w:sz w:val="22"/>
        </w:rPr>
      </w:pPr>
      <w:r w:rsidRPr="00B401C6">
        <w:rPr>
          <w:bCs/>
          <w:sz w:val="22"/>
        </w:rPr>
        <w:t>5. Установить запрет на посещение гражданами лесов, за исключением граждан, трудовая деятельность которых связана с пребыванием в лесах; граждан, осуществляющих использование лесов в установленном законом порядке; граждан, пребывающих на лесных участках, предоставленных для осуществления рекреационной деятельности; граждан, пребывающих в лесах в целях осуществления в соответствии с действующим законодательством любительской и спортивной охоты, а также регулирования численности объектов животного мира.</w:t>
      </w:r>
    </w:p>
    <w:p w:rsidR="00B401C6" w:rsidRPr="00B401C6" w:rsidRDefault="00B401C6" w:rsidP="00B401C6">
      <w:pPr>
        <w:jc w:val="both"/>
        <w:rPr>
          <w:sz w:val="22"/>
        </w:rPr>
      </w:pPr>
      <w:r w:rsidRPr="00B401C6">
        <w:rPr>
          <w:sz w:val="22"/>
        </w:rPr>
        <w:t>6. Взрослому населению усилить контроль за детьми, не допускать их шалостей с огнём.</w:t>
      </w:r>
    </w:p>
    <w:p w:rsidR="00B401C6" w:rsidRPr="00B401C6" w:rsidRDefault="00B401C6" w:rsidP="00B401C6">
      <w:pPr>
        <w:jc w:val="both"/>
        <w:rPr>
          <w:sz w:val="22"/>
        </w:rPr>
      </w:pPr>
      <w:r w:rsidRPr="00B401C6">
        <w:rPr>
          <w:sz w:val="22"/>
        </w:rPr>
        <w:t>7. Активизировать пропаганду мер пожарной безопасности путём проведения сходов граждан, индивидуальных бесед, инструктажей по соблюдению требований пожарной безопасности.</w:t>
      </w:r>
    </w:p>
    <w:p w:rsidR="00B401C6" w:rsidRPr="00B401C6" w:rsidRDefault="00B401C6" w:rsidP="00B401C6">
      <w:pPr>
        <w:jc w:val="both"/>
        <w:rPr>
          <w:sz w:val="22"/>
        </w:rPr>
      </w:pPr>
      <w:r w:rsidRPr="00B401C6">
        <w:rPr>
          <w:sz w:val="22"/>
        </w:rPr>
        <w:t>8. Организовать патрулирование территории силами населения, администрации с целью выявления нарушений правил пожарной безопасности, пресечения разведения костров, сжигания отходов, сухой травы на территории Сандогорского сельского поселения с привлечение сил правопорядка, противопожарной деятельности, общественных организаций.</w:t>
      </w:r>
    </w:p>
    <w:p w:rsidR="00B401C6" w:rsidRPr="00B401C6" w:rsidRDefault="00B401C6" w:rsidP="00B401C6">
      <w:pPr>
        <w:jc w:val="both"/>
        <w:rPr>
          <w:sz w:val="22"/>
        </w:rPr>
      </w:pPr>
      <w:r w:rsidRPr="00B401C6">
        <w:rPr>
          <w:sz w:val="22"/>
        </w:rPr>
        <w:t>9. О фактах пожаров немедленно сообщать в пожарную часть (по сотовому телефону - 101, по стационарному телефону - 01), в администрацию поселения (тел. 8 (4942) 494-300), ЕДДС администрации Костромского муниципального района Костромской области (тел. 8 (49442) 45-32-42).</w:t>
      </w:r>
    </w:p>
    <w:p w:rsidR="00B401C6" w:rsidRPr="00B401C6" w:rsidRDefault="00B401C6" w:rsidP="00B401C6">
      <w:pPr>
        <w:jc w:val="both"/>
        <w:rPr>
          <w:sz w:val="22"/>
        </w:rPr>
      </w:pPr>
      <w:r w:rsidRPr="00B401C6">
        <w:rPr>
          <w:sz w:val="22"/>
        </w:rPr>
        <w:t>10. Контроль за исполнением настоящего постановления оставляю за собой.</w:t>
      </w:r>
    </w:p>
    <w:p w:rsidR="00B401C6" w:rsidRPr="00B401C6" w:rsidRDefault="00B401C6" w:rsidP="00B401C6">
      <w:pPr>
        <w:jc w:val="both"/>
        <w:rPr>
          <w:sz w:val="22"/>
        </w:rPr>
      </w:pPr>
      <w:r w:rsidRPr="00B401C6">
        <w:rPr>
          <w:sz w:val="22"/>
        </w:rPr>
        <w:t>11. Постановление вступает в силу с момента подписания и подлежит опубликованию в информационном бюллетене «Депутатский вестник».</w:t>
      </w:r>
    </w:p>
    <w:p w:rsidR="00B401C6" w:rsidRPr="00B401C6" w:rsidRDefault="00B401C6" w:rsidP="00B401C6">
      <w:pPr>
        <w:jc w:val="both"/>
        <w:rPr>
          <w:sz w:val="22"/>
        </w:rPr>
      </w:pPr>
      <w:r w:rsidRPr="00B401C6">
        <w:rPr>
          <w:sz w:val="22"/>
        </w:rPr>
        <w:t> </w:t>
      </w:r>
    </w:p>
    <w:tbl>
      <w:tblPr>
        <w:tblW w:w="0" w:type="auto"/>
        <w:tblLook w:val="04A0" w:firstRow="1" w:lastRow="0" w:firstColumn="1" w:lastColumn="0" w:noHBand="0" w:noVBand="1"/>
      </w:tblPr>
      <w:tblGrid>
        <w:gridCol w:w="5098"/>
        <w:gridCol w:w="1282"/>
        <w:gridCol w:w="3191"/>
      </w:tblGrid>
      <w:tr w:rsidR="00B401C6" w:rsidRPr="00B401C6" w:rsidTr="00B401C6">
        <w:tc>
          <w:tcPr>
            <w:tcW w:w="5098" w:type="dxa"/>
            <w:shd w:val="clear" w:color="auto" w:fill="auto"/>
          </w:tcPr>
          <w:p w:rsidR="00B401C6" w:rsidRPr="00B401C6" w:rsidRDefault="00B401C6" w:rsidP="00B401C6">
            <w:pPr>
              <w:jc w:val="both"/>
              <w:rPr>
                <w:sz w:val="22"/>
              </w:rPr>
            </w:pPr>
            <w:r w:rsidRPr="00B401C6">
              <w:rPr>
                <w:sz w:val="22"/>
              </w:rPr>
              <w:t>Глава Сандогорского сельского поселения</w:t>
            </w:r>
          </w:p>
        </w:tc>
        <w:tc>
          <w:tcPr>
            <w:tcW w:w="1282" w:type="dxa"/>
            <w:shd w:val="clear" w:color="auto" w:fill="auto"/>
          </w:tcPr>
          <w:p w:rsidR="00B401C6" w:rsidRPr="00B401C6" w:rsidRDefault="00B401C6" w:rsidP="00B401C6">
            <w:pPr>
              <w:jc w:val="both"/>
              <w:rPr>
                <w:sz w:val="22"/>
              </w:rPr>
            </w:pPr>
          </w:p>
        </w:tc>
        <w:tc>
          <w:tcPr>
            <w:tcW w:w="3191" w:type="dxa"/>
            <w:shd w:val="clear" w:color="auto" w:fill="auto"/>
          </w:tcPr>
          <w:p w:rsidR="00B401C6" w:rsidRPr="00B401C6" w:rsidRDefault="00B401C6" w:rsidP="00B401C6">
            <w:pPr>
              <w:jc w:val="both"/>
              <w:rPr>
                <w:sz w:val="22"/>
              </w:rPr>
            </w:pPr>
            <w:r w:rsidRPr="00B401C6">
              <w:rPr>
                <w:sz w:val="22"/>
              </w:rPr>
              <w:t xml:space="preserve">А.А. </w:t>
            </w:r>
            <w:proofErr w:type="spellStart"/>
            <w:r w:rsidRPr="00B401C6">
              <w:rPr>
                <w:sz w:val="22"/>
              </w:rPr>
              <w:t>Нургазизов</w:t>
            </w:r>
            <w:proofErr w:type="spellEnd"/>
          </w:p>
        </w:tc>
      </w:tr>
    </w:tbl>
    <w:p w:rsidR="00B401C6" w:rsidRPr="00B401C6" w:rsidRDefault="00B401C6" w:rsidP="00B401C6">
      <w:pPr>
        <w:jc w:val="center"/>
        <w:rPr>
          <w:sz w:val="22"/>
        </w:rPr>
      </w:pPr>
      <w:r w:rsidRPr="00B401C6">
        <w:rPr>
          <w:sz w:val="22"/>
        </w:rPr>
        <w:t>*****</w:t>
      </w:r>
    </w:p>
    <w:p w:rsidR="00B401C6" w:rsidRPr="00B401C6" w:rsidRDefault="00B401C6" w:rsidP="00B401C6">
      <w:pPr>
        <w:jc w:val="center"/>
        <w:rPr>
          <w:b/>
          <w:sz w:val="22"/>
        </w:rPr>
      </w:pPr>
      <w:r w:rsidRPr="00B401C6">
        <w:rPr>
          <w:b/>
          <w:sz w:val="22"/>
        </w:rPr>
        <w:t>Информация прокуратуры</w:t>
      </w:r>
    </w:p>
    <w:p w:rsidR="00B401C6" w:rsidRPr="00B401C6" w:rsidRDefault="00B401C6" w:rsidP="00B401C6">
      <w:pPr>
        <w:jc w:val="center"/>
        <w:rPr>
          <w:b/>
          <w:sz w:val="22"/>
        </w:rPr>
      </w:pPr>
    </w:p>
    <w:p w:rsidR="00B401C6" w:rsidRPr="00B401C6" w:rsidRDefault="00B401C6" w:rsidP="00B401C6">
      <w:pPr>
        <w:jc w:val="both"/>
        <w:rPr>
          <w:sz w:val="22"/>
        </w:rPr>
      </w:pPr>
      <w:r w:rsidRPr="00B401C6">
        <w:rPr>
          <w:sz w:val="22"/>
        </w:rPr>
        <w:tab/>
        <w:t>Очень часто в прокуратуру района поступают обращения граждан по вопросу несогласия с действиями судебных приставов-исполнителей при наложении взысканий на денежные средства должника, находящиеся в банке или иной кредитной организации.</w:t>
      </w:r>
    </w:p>
    <w:p w:rsidR="00B401C6" w:rsidRPr="00B401C6" w:rsidRDefault="00B401C6" w:rsidP="00B401C6">
      <w:pPr>
        <w:jc w:val="both"/>
        <w:rPr>
          <w:sz w:val="22"/>
        </w:rPr>
      </w:pPr>
      <w:r w:rsidRPr="00B401C6">
        <w:rPr>
          <w:sz w:val="22"/>
        </w:rPr>
        <w:tab/>
        <w:t>Так, нередко на практике складывается ситуация, когда судебным приставом-исполнителем производится арест денежных средств, находящихся на счетах должников в банках и иных кредитных организациях, вместе с тем на указанных счетах могут находиться доходы, на которые не может быть обращено взыскание в рамках исполнительного производства.</w:t>
      </w:r>
    </w:p>
    <w:p w:rsidR="00B401C6" w:rsidRPr="00B401C6" w:rsidRDefault="00B401C6" w:rsidP="00B401C6">
      <w:pPr>
        <w:jc w:val="both"/>
        <w:rPr>
          <w:sz w:val="22"/>
        </w:rPr>
      </w:pPr>
      <w:r w:rsidRPr="00B401C6">
        <w:rPr>
          <w:sz w:val="22"/>
        </w:rPr>
        <w:tab/>
        <w:t>По общему правилу в случае получения информации о наличии открытых на имя должника счетов судебный пристав-исполнитель может наложить арест на денежные средства, находящиеся на всех счетах должника в банках.</w:t>
      </w:r>
    </w:p>
    <w:p w:rsidR="00B401C6" w:rsidRPr="00B401C6" w:rsidRDefault="00B401C6" w:rsidP="00B401C6">
      <w:pPr>
        <w:jc w:val="both"/>
        <w:rPr>
          <w:sz w:val="22"/>
        </w:rPr>
      </w:pPr>
      <w:r w:rsidRPr="00B401C6">
        <w:rPr>
          <w:sz w:val="22"/>
        </w:rPr>
        <w:tab/>
        <w:t>Однако при обращении взыскания на доходы должников (физических лиц) следует помнить об установленных законодательством РФ ограничениях.</w:t>
      </w:r>
    </w:p>
    <w:p w:rsidR="00B401C6" w:rsidRPr="00B401C6" w:rsidRDefault="00B401C6" w:rsidP="00B401C6">
      <w:pPr>
        <w:jc w:val="both"/>
        <w:rPr>
          <w:sz w:val="22"/>
        </w:rPr>
      </w:pPr>
      <w:r w:rsidRPr="00B401C6">
        <w:rPr>
          <w:sz w:val="22"/>
        </w:rPr>
        <w:tab/>
        <w:t>Виды доходов, на которые не может быть обращено взыскание, предусмотрены ст.101 Закона об исполнительном производстве (Федеральный закон от 02.10.2007 № 229-ФЗ).</w:t>
      </w:r>
    </w:p>
    <w:p w:rsidR="00B401C6" w:rsidRPr="00B401C6" w:rsidRDefault="00B401C6" w:rsidP="00B401C6">
      <w:pPr>
        <w:jc w:val="both"/>
        <w:rPr>
          <w:sz w:val="22"/>
        </w:rPr>
      </w:pPr>
      <w:r w:rsidRPr="00B401C6">
        <w:rPr>
          <w:sz w:val="22"/>
        </w:rPr>
        <w:t>Так, взыскание не может быть обращено на следующие виды доходов:</w:t>
      </w:r>
      <w:bookmarkStart w:id="0" w:name="dst100799"/>
      <w:bookmarkEnd w:id="0"/>
    </w:p>
    <w:p w:rsidR="008A577C" w:rsidRDefault="00B401C6" w:rsidP="00B401C6">
      <w:pPr>
        <w:jc w:val="both"/>
        <w:rPr>
          <w:sz w:val="22"/>
        </w:rPr>
      </w:pPr>
      <w:r w:rsidRPr="00B401C6">
        <w:rPr>
          <w:sz w:val="22"/>
        </w:rPr>
        <w:t>1) денежные суммы, выплачиваемые в возмещение вреда, причиненного здоровью;</w:t>
      </w:r>
      <w:bookmarkStart w:id="1" w:name="dst100800"/>
      <w:bookmarkEnd w:id="1"/>
      <w:r w:rsidRPr="00B401C6">
        <w:rPr>
          <w:sz w:val="22"/>
        </w:rPr>
        <w:t xml:space="preserve"> 2) денежные суммы, выплачиваемые в возмещение вреда в связи со смертью кормильца;</w:t>
      </w:r>
      <w:bookmarkStart w:id="2" w:name="dst100801"/>
      <w:bookmarkEnd w:id="2"/>
      <w:r w:rsidRPr="00B401C6">
        <w:rPr>
          <w:sz w:val="22"/>
        </w:rPr>
        <w:t xml:space="preserve"> 3)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bookmarkStart w:id="3" w:name="dst100802"/>
      <w:bookmarkEnd w:id="3"/>
      <w:r w:rsidRPr="00B401C6">
        <w:rPr>
          <w:sz w:val="22"/>
        </w:rPr>
        <w:t xml:space="preserve"> 4)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bookmarkStart w:id="4" w:name="dst100803"/>
      <w:bookmarkEnd w:id="4"/>
      <w:r w:rsidRPr="00B401C6">
        <w:rPr>
          <w:sz w:val="22"/>
        </w:rPr>
        <w:t xml:space="preserve"> 5) 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bookmarkStart w:id="5" w:name="dst100804"/>
      <w:bookmarkEnd w:id="5"/>
      <w:r w:rsidRPr="00B401C6">
        <w:rPr>
          <w:sz w:val="22"/>
        </w:rPr>
        <w:t xml:space="preserve"> 6)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w:t>
      </w:r>
      <w:bookmarkStart w:id="6" w:name="dst100805"/>
      <w:bookmarkEnd w:id="6"/>
      <w:r w:rsidRPr="00B401C6">
        <w:rPr>
          <w:sz w:val="22"/>
        </w:rPr>
        <w:t xml:space="preserve"> 7) денежные суммы, выплачиваемые в качестве алиментов, а также суммы, выплачиваемые на содержание </w:t>
      </w:r>
    </w:p>
    <w:p w:rsidR="00B401C6" w:rsidRPr="00B401C6" w:rsidRDefault="00B401C6" w:rsidP="00B401C6">
      <w:pPr>
        <w:jc w:val="both"/>
        <w:rPr>
          <w:sz w:val="22"/>
        </w:rPr>
      </w:pPr>
      <w:bookmarkStart w:id="7" w:name="_GoBack"/>
      <w:bookmarkEnd w:id="7"/>
      <w:r w:rsidRPr="00B401C6">
        <w:rPr>
          <w:sz w:val="22"/>
        </w:rPr>
        <w:lastRenderedPageBreak/>
        <w:t>несовершеннолетних детей в период розыска их родителей;</w:t>
      </w:r>
      <w:bookmarkStart w:id="8" w:name="dst100806"/>
      <w:bookmarkEnd w:id="8"/>
      <w:r w:rsidRPr="00B401C6">
        <w:rPr>
          <w:sz w:val="22"/>
        </w:rPr>
        <w:t xml:space="preserve"> 8) компенсационные выплаты, установленные законодательством Российской Федерации о труде:</w:t>
      </w:r>
      <w:bookmarkStart w:id="9" w:name="dst100807"/>
      <w:bookmarkEnd w:id="9"/>
      <w:r w:rsidRPr="00B401C6">
        <w:rPr>
          <w:sz w:val="22"/>
        </w:rPr>
        <w:t xml:space="preserve"> а) в связи со служебной командировкой, с переводом, приемом или направлением на работу в другую местность;</w:t>
      </w:r>
      <w:bookmarkStart w:id="10" w:name="dst100808"/>
      <w:bookmarkEnd w:id="10"/>
      <w:r w:rsidRPr="00B401C6">
        <w:rPr>
          <w:sz w:val="22"/>
        </w:rPr>
        <w:t xml:space="preserve"> б) в связи с изнашиванием инструмента, принадлежащего работнику;</w:t>
      </w:r>
      <w:bookmarkStart w:id="11" w:name="dst100809"/>
      <w:bookmarkEnd w:id="11"/>
      <w:r w:rsidRPr="00B401C6">
        <w:rPr>
          <w:sz w:val="22"/>
        </w:rPr>
        <w:t xml:space="preserve"> в) денежные суммы, выплачиваемые организацией в связи с рождением ребенка, со смертью родных, с регистрацией брака;</w:t>
      </w:r>
      <w:bookmarkStart w:id="12" w:name="dst414"/>
      <w:bookmarkStart w:id="13" w:name="dst100810"/>
      <w:bookmarkEnd w:id="12"/>
      <w:bookmarkEnd w:id="13"/>
      <w:r w:rsidRPr="00B401C6">
        <w:rPr>
          <w:sz w:val="22"/>
        </w:rPr>
        <w:t xml:space="preserve"> 9)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bookmarkStart w:id="14" w:name="dst100811"/>
      <w:bookmarkEnd w:id="14"/>
      <w:r w:rsidRPr="00B401C6">
        <w:rPr>
          <w:sz w:val="22"/>
        </w:rPr>
        <w:t xml:space="preserve"> 10) пенсии по случаю потери кормильца, выплачиваемые за счет средств федерального бюджета;</w:t>
      </w:r>
      <w:bookmarkStart w:id="15" w:name="dst100812"/>
      <w:bookmarkEnd w:id="15"/>
      <w:r w:rsidRPr="00B401C6">
        <w:rPr>
          <w:sz w:val="22"/>
        </w:rPr>
        <w:t xml:space="preserve"> 11) выплаты к пенсиям по случаю потери кормильца за счет средств бюджетов субъектов Российской Федерации;</w:t>
      </w:r>
      <w:bookmarkStart w:id="16" w:name="dst100813"/>
      <w:bookmarkEnd w:id="16"/>
      <w:r w:rsidRPr="00B401C6">
        <w:rPr>
          <w:sz w:val="22"/>
        </w:rPr>
        <w:t xml:space="preserve"> 12)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bookmarkStart w:id="17" w:name="dst100814"/>
      <w:bookmarkEnd w:id="17"/>
      <w:r w:rsidRPr="00B401C6">
        <w:rPr>
          <w:sz w:val="22"/>
        </w:rPr>
        <w:t xml:space="preserve"> 13) средства материнского (семейного) капитала, предусмотренные Федеральным </w:t>
      </w:r>
      <w:hyperlink r:id="rId8" w:anchor="dst100015" w:history="1">
        <w:r w:rsidRPr="00B401C6">
          <w:rPr>
            <w:rStyle w:val="af3"/>
            <w:sz w:val="22"/>
          </w:rPr>
          <w:t>законом</w:t>
        </w:r>
      </w:hyperlink>
      <w:r w:rsidRPr="00B401C6">
        <w:rPr>
          <w:sz w:val="22"/>
        </w:rPr>
        <w:t> от 29.12.2006 № 256-ФЗ «О дополнительных мерах государственной поддержки семей, имеющих детей»;</w:t>
      </w:r>
      <w:bookmarkStart w:id="18" w:name="dst100815"/>
      <w:bookmarkEnd w:id="18"/>
      <w:r w:rsidRPr="00B401C6">
        <w:rPr>
          <w:sz w:val="22"/>
        </w:rPr>
        <w:t xml:space="preserve"> 14) 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bookmarkStart w:id="19" w:name="dst100816"/>
      <w:bookmarkEnd w:id="19"/>
      <w:r w:rsidRPr="00B401C6">
        <w:rPr>
          <w:sz w:val="22"/>
        </w:rPr>
        <w:t xml:space="preserve"> а) в связи со стихийным бедствием или другими чрезвычайными обстоятельствами;</w:t>
      </w:r>
      <w:bookmarkStart w:id="20" w:name="dst100817"/>
      <w:bookmarkEnd w:id="20"/>
      <w:r w:rsidRPr="00B401C6">
        <w:rPr>
          <w:sz w:val="22"/>
        </w:rPr>
        <w:t xml:space="preserve"> б) в связи с террористическим актом;</w:t>
      </w:r>
      <w:bookmarkStart w:id="21" w:name="dst100818"/>
      <w:bookmarkEnd w:id="21"/>
      <w:r w:rsidRPr="00B401C6">
        <w:rPr>
          <w:sz w:val="22"/>
        </w:rPr>
        <w:t xml:space="preserve"> в) в связи со смертью члена семьи;</w:t>
      </w:r>
      <w:bookmarkStart w:id="22" w:name="dst100819"/>
      <w:bookmarkEnd w:id="22"/>
      <w:r w:rsidRPr="00B401C6">
        <w:rPr>
          <w:sz w:val="22"/>
        </w:rPr>
        <w:t xml:space="preserve"> г) в виде гуманитарной помощи;</w:t>
      </w:r>
      <w:bookmarkStart w:id="23" w:name="dst100820"/>
      <w:bookmarkEnd w:id="23"/>
      <w:r w:rsidRPr="00B401C6">
        <w:rPr>
          <w:sz w:val="22"/>
        </w:rPr>
        <w:t xml:space="preserve"> д) за оказание содействия в выявлении, предупреждении, пресечении и раскрытии террористических актов, иных преступлений;</w:t>
      </w:r>
      <w:bookmarkStart w:id="24" w:name="dst100821"/>
      <w:bookmarkEnd w:id="24"/>
      <w:r w:rsidRPr="00B401C6">
        <w:rPr>
          <w:sz w:val="22"/>
        </w:rPr>
        <w:t xml:space="preserve"> 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 оздоровительные учреждения;</w:t>
      </w:r>
      <w:bookmarkStart w:id="25" w:name="dst100822"/>
      <w:bookmarkEnd w:id="25"/>
      <w:r w:rsidRPr="00B401C6">
        <w:rPr>
          <w:sz w:val="22"/>
        </w:rPr>
        <w:t xml:space="preserve"> 16) 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bookmarkStart w:id="26" w:name="dst100823"/>
      <w:bookmarkEnd w:id="26"/>
      <w:r w:rsidRPr="00B401C6">
        <w:rPr>
          <w:sz w:val="22"/>
        </w:rPr>
        <w:t xml:space="preserve"> 17) социальное пособие на погребение;</w:t>
      </w:r>
      <w:bookmarkStart w:id="27" w:name="dst723"/>
      <w:bookmarkEnd w:id="27"/>
      <w:r w:rsidRPr="00B401C6">
        <w:rPr>
          <w:sz w:val="22"/>
        </w:rPr>
        <w:t xml:space="preserve"> 18) денежные средства, выделенные гражданам, пострадавшим в результате чрезвычайной ситуации, в качестве единовременной материальной помощи и (или) финансовой помощи в связи с утратой имущества первой необходимости и (или) в качестве единовременного пособия членам семей граждан, погибших (умерших) в результате чрезвычайной ситуации, и гражданам, здоровью которых в результате чрезвычайной ситуации причинен вред различной степени тяжести;</w:t>
      </w:r>
      <w:bookmarkStart w:id="28" w:name="dst101103"/>
      <w:bookmarkEnd w:id="28"/>
      <w:r w:rsidRPr="00B401C6">
        <w:rPr>
          <w:sz w:val="22"/>
        </w:rPr>
        <w:t xml:space="preserve"> 19) единовременная выплата в размере 10 000 рублей на каждого ребенка, выплачиваемая в соответствии с </w:t>
      </w:r>
      <w:hyperlink r:id="rId9" w:anchor="dst100021" w:history="1">
        <w:r w:rsidRPr="00B401C6">
          <w:rPr>
            <w:rStyle w:val="af3"/>
            <w:sz w:val="22"/>
          </w:rPr>
          <w:t>Указом</w:t>
        </w:r>
      </w:hyperlink>
      <w:r w:rsidRPr="00B401C6">
        <w:rPr>
          <w:sz w:val="22"/>
        </w:rPr>
        <w:t> Президента РФ от 07.04.2020 № 249 «О дополнительных мерах социальной поддержки семей, имеющих детей».</w:t>
      </w:r>
    </w:p>
    <w:p w:rsidR="00B401C6" w:rsidRPr="00B401C6" w:rsidRDefault="00B401C6" w:rsidP="00B401C6">
      <w:pPr>
        <w:jc w:val="both"/>
        <w:rPr>
          <w:sz w:val="22"/>
        </w:rPr>
      </w:pPr>
      <w:r w:rsidRPr="00B401C6">
        <w:rPr>
          <w:sz w:val="22"/>
        </w:rPr>
        <w:tab/>
        <w:t>Данный перечень доходов является исчерпывающим и расширительному толкованию не подлежит.</w:t>
      </w:r>
    </w:p>
    <w:p w:rsidR="00B401C6" w:rsidRPr="00B401C6" w:rsidRDefault="00B401C6" w:rsidP="00B401C6">
      <w:pPr>
        <w:jc w:val="both"/>
        <w:rPr>
          <w:sz w:val="22"/>
        </w:rPr>
      </w:pPr>
      <w:r w:rsidRPr="00B401C6">
        <w:rPr>
          <w:sz w:val="22"/>
        </w:rPr>
        <w:tab/>
        <w:t>Следует отметить, что пособие по безработице законодательством РФ не отнесено к виду обеспечения по обязательному социальному страхованию, поэтому на такое пособие может быть обращено взыскание по исполнительным документам.</w:t>
      </w:r>
    </w:p>
    <w:p w:rsidR="00B401C6" w:rsidRPr="00B401C6" w:rsidRDefault="00B401C6" w:rsidP="00B401C6">
      <w:pPr>
        <w:jc w:val="both"/>
        <w:rPr>
          <w:sz w:val="22"/>
        </w:rPr>
      </w:pPr>
      <w:r w:rsidRPr="00B401C6">
        <w:rPr>
          <w:sz w:val="22"/>
        </w:rPr>
        <w:tab/>
        <w:t xml:space="preserve">Разъясняю, что в соответствии с ч.7 ст.69 Закона об исполнительном производстве именно на должника возложена обязанность по предоставлению судебному приставу-исполнителю документов, подтверждающих наличие принадлежащих ему имущества, доходов, на которые не может быть обращено взыскание по исполнительным документам, в </w:t>
      </w:r>
      <w:proofErr w:type="spellStart"/>
      <w:r w:rsidRPr="00B401C6">
        <w:rPr>
          <w:sz w:val="22"/>
        </w:rPr>
        <w:t>т.ч</w:t>
      </w:r>
      <w:proofErr w:type="spellEnd"/>
      <w:r w:rsidRPr="00B401C6">
        <w:rPr>
          <w:sz w:val="22"/>
        </w:rPr>
        <w:t>. денежных средств, находящихся на счетах, во вкладах или на хранении в банках и иных кредитных организациях.</w:t>
      </w:r>
    </w:p>
    <w:p w:rsidR="00B401C6" w:rsidRPr="00B401C6" w:rsidRDefault="00B401C6" w:rsidP="00B401C6">
      <w:pPr>
        <w:jc w:val="both"/>
        <w:rPr>
          <w:sz w:val="22"/>
        </w:rPr>
      </w:pPr>
      <w:r w:rsidRPr="00B401C6">
        <w:rPr>
          <w:sz w:val="22"/>
        </w:rPr>
        <w:tab/>
        <w:t>В случае обращения взыскания на доходы должника, подпадающие под перечень, указанный в ст.101 Закона об исполнительном производстве, при предоставлении в службу судебных приставов соответствующих подтверждающих документов денежные средства подлежат возврату должнику.</w:t>
      </w:r>
    </w:p>
    <w:p w:rsidR="00B401C6" w:rsidRPr="00B401C6" w:rsidRDefault="00B401C6" w:rsidP="00B401C6">
      <w:pPr>
        <w:jc w:val="both"/>
        <w:rPr>
          <w:sz w:val="22"/>
        </w:rPr>
      </w:pPr>
      <w:r w:rsidRPr="00B401C6">
        <w:rPr>
          <w:sz w:val="22"/>
        </w:rPr>
        <w:tab/>
      </w:r>
    </w:p>
    <w:p w:rsidR="00A454CE" w:rsidRPr="00661A6C" w:rsidRDefault="00A454CE" w:rsidP="00B401C6">
      <w:pPr>
        <w:jc w:val="both"/>
        <w:rPr>
          <w:sz w:val="20"/>
          <w:szCs w:val="20"/>
        </w:rPr>
      </w:pPr>
    </w:p>
    <w:tbl>
      <w:tblPr>
        <w:tblW w:w="10029"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650"/>
        <w:gridCol w:w="3119"/>
        <w:gridCol w:w="3260"/>
      </w:tblGrid>
      <w:tr w:rsidR="00B47201" w:rsidRPr="00B47201" w:rsidTr="007C2F42">
        <w:trPr>
          <w:trHeight w:val="1260"/>
        </w:trPr>
        <w:tc>
          <w:tcPr>
            <w:tcW w:w="365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w:t>
            </w:r>
            <w:proofErr w:type="spellStart"/>
            <w:r w:rsidRPr="00701D34">
              <w:rPr>
                <w:i/>
                <w:iCs/>
                <w:szCs w:val="20"/>
              </w:rPr>
              <w:t>Сандогора</w:t>
            </w:r>
            <w:proofErr w:type="spellEnd"/>
            <w:r w:rsidRPr="00701D34">
              <w:rPr>
                <w:i/>
                <w:iCs/>
                <w:szCs w:val="20"/>
              </w:rPr>
              <w:t>,</w:t>
            </w:r>
          </w:p>
          <w:p w:rsidR="00B47201" w:rsidRPr="00701D34" w:rsidRDefault="00B47201" w:rsidP="00B47201">
            <w:pPr>
              <w:jc w:val="center"/>
              <w:rPr>
                <w:b/>
                <w:bCs/>
                <w:szCs w:val="20"/>
              </w:rPr>
            </w:pPr>
            <w:r w:rsidRPr="00701D34">
              <w:rPr>
                <w:i/>
                <w:iCs/>
                <w:szCs w:val="20"/>
              </w:rPr>
              <w:t>ул. Молодежная д.7</w:t>
            </w:r>
          </w:p>
        </w:tc>
        <w:tc>
          <w:tcPr>
            <w:tcW w:w="3119"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6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proofErr w:type="spellStart"/>
            <w:r w:rsidRPr="00701D34">
              <w:rPr>
                <w:i/>
                <w:iCs/>
                <w:szCs w:val="20"/>
              </w:rPr>
              <w:t>С.Н.Рабцевич</w:t>
            </w:r>
            <w:proofErr w:type="spellEnd"/>
          </w:p>
        </w:tc>
      </w:tr>
    </w:tbl>
    <w:p w:rsidR="00E96554" w:rsidRPr="00E03F40" w:rsidRDefault="00E96554" w:rsidP="00605736">
      <w:pPr>
        <w:rPr>
          <w:sz w:val="20"/>
          <w:szCs w:val="20"/>
        </w:rPr>
      </w:pPr>
    </w:p>
    <w:sectPr w:rsidR="00E96554" w:rsidRPr="00E03F40" w:rsidSect="00452111">
      <w:footerReference w:type="default" r:id="rId10"/>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91B" w:rsidRDefault="0041191B" w:rsidP="00D13D99">
      <w:pPr>
        <w:pStyle w:val="3"/>
      </w:pPr>
      <w:r>
        <w:separator/>
      </w:r>
    </w:p>
  </w:endnote>
  <w:endnote w:type="continuationSeparator" w:id="0">
    <w:p w:rsidR="0041191B" w:rsidRDefault="0041191B"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8A577C">
      <w:rPr>
        <w:rStyle w:val="a9"/>
        <w:noProof/>
      </w:rPr>
      <w:t>3</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91B" w:rsidRDefault="0041191B" w:rsidP="00D13D99">
      <w:pPr>
        <w:pStyle w:val="3"/>
      </w:pPr>
      <w:r>
        <w:separator/>
      </w:r>
    </w:p>
  </w:footnote>
  <w:footnote w:type="continuationSeparator" w:id="0">
    <w:p w:rsidR="0041191B" w:rsidRDefault="0041191B"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4">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5">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6">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8">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9">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1">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2">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3">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5">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6">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7">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8">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38"/>
  </w:num>
  <w:num w:numId="3">
    <w:abstractNumId w:val="31"/>
  </w:num>
  <w:num w:numId="4">
    <w:abstractNumId w:val="25"/>
  </w:num>
  <w:num w:numId="5">
    <w:abstractNumId w:val="30"/>
  </w:num>
  <w:num w:numId="6">
    <w:abstractNumId w:val="23"/>
  </w:num>
  <w:num w:numId="7">
    <w:abstractNumId w:val="35"/>
  </w:num>
  <w:num w:numId="8">
    <w:abstractNumId w:val="27"/>
  </w:num>
  <w:num w:numId="9">
    <w:abstractNumId w:val="29"/>
  </w:num>
  <w:num w:numId="10">
    <w:abstractNumId w:val="34"/>
  </w:num>
  <w:num w:numId="11">
    <w:abstractNumId w:val="28"/>
  </w:num>
  <w:num w:numId="12">
    <w:abstractNumId w:val="32"/>
  </w:num>
  <w:num w:numId="13">
    <w:abstractNumId w:val="3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4"/>
  </w:num>
  <w:num w:numId="36">
    <w:abstractNumId w:val="33"/>
  </w:num>
  <w:num w:numId="37">
    <w:abstractNumId w:val="20"/>
  </w:num>
  <w:num w:numId="38">
    <w:abstractNumId w:val="2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2AB"/>
    <w:rsid w:val="0027292E"/>
    <w:rsid w:val="002745A1"/>
    <w:rsid w:val="002805EC"/>
    <w:rsid w:val="00283E9C"/>
    <w:rsid w:val="00286C90"/>
    <w:rsid w:val="00290CF2"/>
    <w:rsid w:val="00293C28"/>
    <w:rsid w:val="002C5725"/>
    <w:rsid w:val="002C57F0"/>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10D"/>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1191B"/>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86DDD"/>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2F42"/>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2467D"/>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577C"/>
    <w:rsid w:val="008A793E"/>
    <w:rsid w:val="008B1A9E"/>
    <w:rsid w:val="008B1C7F"/>
    <w:rsid w:val="008B24B3"/>
    <w:rsid w:val="008B320A"/>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01C6"/>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3D5B8A-C0FB-4275-A79D-2321B05E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1947/c5051782233acca771e9adb35b47d3fb82c9ff1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52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1781</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User</cp:lastModifiedBy>
  <cp:revision>3</cp:revision>
  <cp:lastPrinted>2013-10-30T13:20:00Z</cp:lastPrinted>
  <dcterms:created xsi:type="dcterms:W3CDTF">2021-11-21T20:48:00Z</dcterms:created>
  <dcterms:modified xsi:type="dcterms:W3CDTF">2021-11-21T21:40:00Z</dcterms:modified>
</cp:coreProperties>
</file>