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698FF1DF"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0B0E">
              <w:rPr>
                <w:b/>
                <w:bCs/>
              </w:rPr>
              <w:t>1</w:t>
            </w:r>
            <w:r w:rsidR="00234CE0">
              <w:rPr>
                <w:b/>
                <w:bCs/>
              </w:rPr>
              <w:t>5</w:t>
            </w:r>
            <w:r w:rsidR="00E0332E">
              <w:rPr>
                <w:b/>
                <w:bCs/>
              </w:rPr>
              <w:t xml:space="preserve"> </w:t>
            </w:r>
            <w:r w:rsidR="0004448B" w:rsidRPr="00FC486E">
              <w:rPr>
                <w:b/>
                <w:bCs/>
              </w:rPr>
              <w:t>от</w:t>
            </w:r>
            <w:r w:rsidR="001133B9">
              <w:rPr>
                <w:b/>
                <w:bCs/>
              </w:rPr>
              <w:t xml:space="preserve"> </w:t>
            </w:r>
            <w:r w:rsidR="00234CE0">
              <w:rPr>
                <w:b/>
                <w:bCs/>
              </w:rPr>
              <w:t>10 июля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7574A4AC" w14:textId="77777777" w:rsidR="00AA45D9" w:rsidRPr="00E0332E" w:rsidRDefault="00AA45D9" w:rsidP="00226EB1">
      <w:pPr>
        <w:jc w:val="center"/>
        <w:rPr>
          <w:b/>
          <w:bCs/>
          <w:sz w:val="28"/>
          <w:szCs w:val="28"/>
        </w:rPr>
      </w:pPr>
    </w:p>
    <w:p w14:paraId="2A74FCBC" w14:textId="028F8495" w:rsidR="00C25430" w:rsidRDefault="00AA45D9" w:rsidP="00234CE0">
      <w:pPr>
        <w:suppressAutoHyphens/>
        <w:ind w:firstLine="708"/>
        <w:jc w:val="both"/>
        <w:outlineLvl w:val="0"/>
        <w:rPr>
          <w:rFonts w:eastAsia="SimSun"/>
          <w:lang w:eastAsia="ar-SA"/>
        </w:rPr>
      </w:pPr>
      <w:r>
        <w:rPr>
          <w:rFonts w:eastAsia="SimSun"/>
          <w:lang w:eastAsia="ar-SA"/>
        </w:rPr>
        <w:t xml:space="preserve">1. </w:t>
      </w:r>
      <w:r w:rsidR="00234CE0" w:rsidRPr="00234CE0">
        <w:rPr>
          <w:rFonts w:eastAsia="SimSun"/>
          <w:lang w:eastAsia="ar-SA"/>
        </w:rPr>
        <w:t>Меры поддержки многодетным семьям, предусмотренные законодательством Костромской области</w:t>
      </w:r>
    </w:p>
    <w:p w14:paraId="53384035" w14:textId="77777777" w:rsidR="00AA45D9" w:rsidRDefault="00AA45D9" w:rsidP="00AA45D9">
      <w:pPr>
        <w:suppressAutoHyphens/>
        <w:ind w:firstLine="708"/>
        <w:jc w:val="both"/>
        <w:outlineLvl w:val="0"/>
        <w:rPr>
          <w:rFonts w:eastAsia="SimSun"/>
          <w:lang w:eastAsia="ar-SA"/>
        </w:rPr>
      </w:pPr>
    </w:p>
    <w:p w14:paraId="785E0EE5" w14:textId="27654266" w:rsidR="00AA45D9" w:rsidRDefault="00AA45D9" w:rsidP="00AA45D9">
      <w:pPr>
        <w:suppressAutoHyphens/>
        <w:ind w:firstLine="708"/>
        <w:jc w:val="center"/>
        <w:outlineLvl w:val="0"/>
        <w:rPr>
          <w:rFonts w:eastAsia="SimSun"/>
          <w:lang w:eastAsia="ar-SA"/>
        </w:rPr>
      </w:pPr>
      <w:r>
        <w:rPr>
          <w:rFonts w:eastAsia="SimSun"/>
          <w:lang w:eastAsia="ar-SA"/>
        </w:rPr>
        <w:t xml:space="preserve">*** </w:t>
      </w:r>
    </w:p>
    <w:p w14:paraId="651084CC" w14:textId="463CF54D" w:rsidR="00C25430" w:rsidRDefault="00C25430" w:rsidP="00C25430">
      <w:pPr>
        <w:suppressAutoHyphens/>
        <w:jc w:val="both"/>
        <w:outlineLvl w:val="0"/>
        <w:rPr>
          <w:rFonts w:eastAsia="SimSun"/>
          <w:lang w:eastAsia="ar-SA"/>
        </w:rPr>
      </w:pPr>
    </w:p>
    <w:p w14:paraId="07EA8829" w14:textId="77777777" w:rsidR="007402BC" w:rsidRPr="007402BC" w:rsidRDefault="007402BC" w:rsidP="007402BC">
      <w:pPr>
        <w:spacing w:line="225" w:lineRule="auto"/>
        <w:ind w:firstLine="709"/>
        <w:jc w:val="both"/>
        <w:rPr>
          <w:rFonts w:ascii="PT Astra Serif" w:hAnsi="PT Astra Serif" w:cs="Arial"/>
          <w:sz w:val="28"/>
          <w:szCs w:val="28"/>
        </w:rPr>
      </w:pPr>
    </w:p>
    <w:p w14:paraId="4B765234"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В целях сохранения и защиты традиционных семейных ценностей 2024 год </w:t>
      </w:r>
      <w:hyperlink r:id="rId9" w:tgtFrame="_blank" w:history="1">
        <w:r w:rsidRPr="007402BC">
          <w:rPr>
            <w:rFonts w:ascii="PT Astra Serif" w:hAnsi="PT Astra Serif" w:cs="Arial"/>
            <w:sz w:val="28"/>
            <w:szCs w:val="28"/>
          </w:rPr>
          <w:t>объяв</w:t>
        </w:r>
      </w:hyperlink>
      <w:r w:rsidRPr="007402BC">
        <w:rPr>
          <w:rFonts w:ascii="PT Astra Serif" w:hAnsi="PT Astra Serif" w:cs="Arial"/>
          <w:sz w:val="28"/>
          <w:szCs w:val="28"/>
        </w:rPr>
        <w:t>лен в стране Годом семьи. Кроме того, Год семьи призван популяризовать меры государства по защите этого института.</w:t>
      </w:r>
    </w:p>
    <w:p w14:paraId="153C6F68"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Указом Президента Российской Федерации от 23.01.2024 № 63 «О мерах социальной поддержки многодетных семей» закреплен новый подход к определению статуса многодетной семьи и обновлены меры социальной поддержки.</w:t>
      </w:r>
    </w:p>
    <w:p w14:paraId="4A8AAC71"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Так, многодетной семьей в России признается семья, имеющая трех и более детей, статус которой устанавливается бессрочно.</w:t>
      </w:r>
    </w:p>
    <w:p w14:paraId="450645B7"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Государством гарантируется, в частности, предоставление государственных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w:t>
      </w:r>
    </w:p>
    <w:p w14:paraId="1CAD4F14"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С 1 июля 2024 года в Костромской области вводятся новые региональные льготы для многодетных семей, которые разработаны в соответствии с Указом Президента Российской Федерации от 23.01.2024 № 63 «О мерах социальной поддержки многодетных семей». </w:t>
      </w:r>
    </w:p>
    <w:p w14:paraId="3FBF84B0"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lastRenderedPageBreak/>
        <w:t>Так, с учетом принятых в мае текущего года Костромской областной Думой изменений в Закон Костромской области от 21.07.2008 № 351-4-ЗКО «О мерах социальной поддержки многодетных семей в Костромской области» многодетным семьям предоставляются следующие меры социальной поддержки:</w:t>
      </w:r>
    </w:p>
    <w:p w14:paraId="31522649" w14:textId="77777777" w:rsidR="007402BC" w:rsidRPr="007402BC" w:rsidRDefault="007402BC" w:rsidP="007402BC">
      <w:pPr>
        <w:spacing w:line="225" w:lineRule="auto"/>
        <w:ind w:firstLine="709"/>
        <w:jc w:val="both"/>
        <w:rPr>
          <w:rFonts w:ascii="PT Astra Serif" w:hAnsi="PT Astra Serif" w:cs="Arial"/>
          <w:sz w:val="28"/>
          <w:szCs w:val="28"/>
        </w:rPr>
      </w:pPr>
      <w:bookmarkStart w:id="0" w:name="p5"/>
      <w:bookmarkEnd w:id="0"/>
      <w:r w:rsidRPr="007402BC">
        <w:rPr>
          <w:rFonts w:ascii="PT Astra Serif" w:hAnsi="PT Astra Serif" w:cs="Arial"/>
          <w:sz w:val="28"/>
          <w:szCs w:val="28"/>
        </w:rPr>
        <w:t xml:space="preserve">1) ежемесячная социальная выплата в размере 460 рублей на проезд ребенка, обучающегося в общеобразовательной организации (кроме детей, находящихся под опекой (попечительством), в том числе в приемных семьях); </w:t>
      </w:r>
    </w:p>
    <w:p w14:paraId="379389E6"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2) ежемесячная частичная денежная компенсация на оплату жилого помещения и коммунальных услуг (в том числе на отопление твердым топливом при наличии печного отопления) в размере 400 рублей на каждого члена семьи; </w:t>
      </w:r>
    </w:p>
    <w:p w14:paraId="321E0C0E" w14:textId="77777777" w:rsidR="007402BC" w:rsidRPr="007402BC" w:rsidRDefault="007402BC" w:rsidP="007402BC">
      <w:pPr>
        <w:spacing w:line="225" w:lineRule="auto"/>
        <w:ind w:firstLine="709"/>
        <w:jc w:val="both"/>
        <w:rPr>
          <w:rFonts w:ascii="PT Astra Serif" w:hAnsi="PT Astra Serif" w:cs="Arial"/>
          <w:sz w:val="28"/>
          <w:szCs w:val="28"/>
        </w:rPr>
      </w:pPr>
      <w:bookmarkStart w:id="1" w:name="p9"/>
      <w:bookmarkEnd w:id="1"/>
      <w:r w:rsidRPr="007402BC">
        <w:rPr>
          <w:rFonts w:ascii="PT Astra Serif" w:hAnsi="PT Astra Serif" w:cs="Arial"/>
          <w:sz w:val="28"/>
          <w:szCs w:val="28"/>
        </w:rPr>
        <w:t>3) ежемесячная социальная выплата в размере 500 рублей на питание ребенка, не посещающего дошкольную образовательную организацию, начиная с возраста трех лет до его поступления в общеобразовательную организацию, но не далее, чем по достижении ребенком возраста 8 лет (кроме детей, находящихся под опекой (попечительством), в том числе в приемных семьях);</w:t>
      </w:r>
    </w:p>
    <w:p w14:paraId="45C14436" w14:textId="77777777" w:rsidR="007402BC" w:rsidRPr="007402BC" w:rsidRDefault="007402BC" w:rsidP="007402BC">
      <w:pPr>
        <w:spacing w:line="225" w:lineRule="auto"/>
        <w:ind w:firstLine="709"/>
        <w:jc w:val="both"/>
        <w:rPr>
          <w:rFonts w:ascii="PT Astra Serif" w:hAnsi="PT Astra Serif" w:cs="Arial"/>
          <w:sz w:val="28"/>
          <w:szCs w:val="28"/>
        </w:rPr>
      </w:pPr>
      <w:bookmarkStart w:id="2" w:name="p11"/>
      <w:bookmarkEnd w:id="2"/>
      <w:r w:rsidRPr="007402BC">
        <w:rPr>
          <w:rFonts w:ascii="PT Astra Serif" w:hAnsi="PT Astra Serif" w:cs="Arial"/>
          <w:sz w:val="28"/>
          <w:szCs w:val="28"/>
        </w:rPr>
        <w:t>4) ежемесячная социальная выплата в размере 200 рублей на лекарственное обеспечение ребенка до его поступления в общеобразовательную организацию, но не далее, чем по достижении ребенком возраста 8 лет (кроме детей, находящихся под опекой (попечительством), в том числе в приемных семьях);</w:t>
      </w:r>
    </w:p>
    <w:p w14:paraId="22629E44"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5) ежегодная денежная компенсация на обеспечение одеждой детей, в случае рождения в семье трех и более близнецов, до достижения ими возраста 18 лет в размере 5 000 рублей на каждого ребенка; </w:t>
      </w:r>
    </w:p>
    <w:p w14:paraId="3C5E5797"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6) социальная выплата один раз в два года в размере 5 000 рублей на ребенка, обучающегося в общеобразовательной организации, на приобретение школьной, спортивной формы (кроме детей, находящихся под опекой (попечительством), в том числе в приемных семьях);</w:t>
      </w:r>
    </w:p>
    <w:p w14:paraId="0A53213D"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7) единовременная денежная выплата:</w:t>
      </w:r>
    </w:p>
    <w:p w14:paraId="322ECB6C"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а) при первичном поступлении детей в дошкольные образовательные организации в размере 3 000 рублей на ребенка на приобретение одежды и обуви (кроме детей, находящихся под опекой (попечительством), в том числе в приемных семьях);</w:t>
      </w:r>
    </w:p>
    <w:p w14:paraId="483EB2CB"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б) в случае причинения ущерба имуществу в результате пожара в размере 10 000 рублей на каждого члена семьи;</w:t>
      </w:r>
    </w:p>
    <w:p w14:paraId="285DF74E"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в) на </w:t>
      </w:r>
      <w:proofErr w:type="spellStart"/>
      <w:r w:rsidRPr="007402BC">
        <w:rPr>
          <w:rFonts w:ascii="PT Astra Serif" w:hAnsi="PT Astra Serif" w:cs="Arial"/>
          <w:sz w:val="28"/>
          <w:szCs w:val="28"/>
        </w:rPr>
        <w:t>догазификацию</w:t>
      </w:r>
      <w:proofErr w:type="spellEnd"/>
      <w:r w:rsidRPr="007402BC">
        <w:rPr>
          <w:rFonts w:ascii="PT Astra Serif" w:hAnsi="PT Astra Serif" w:cs="Arial"/>
          <w:sz w:val="28"/>
          <w:szCs w:val="28"/>
        </w:rPr>
        <w:t xml:space="preserve"> домовладения в размере фактических расходов на подключение (технологическое присоединение) в пределах границ земельного участка, на котором находится домовладение, и (или) на проектирование сети </w:t>
      </w:r>
      <w:proofErr w:type="spellStart"/>
      <w:r w:rsidRPr="007402BC">
        <w:rPr>
          <w:rFonts w:ascii="PT Astra Serif" w:hAnsi="PT Astra Serif" w:cs="Arial"/>
          <w:sz w:val="28"/>
          <w:szCs w:val="28"/>
        </w:rPr>
        <w:t>газопотребления</w:t>
      </w:r>
      <w:proofErr w:type="spellEnd"/>
      <w:r w:rsidRPr="007402BC">
        <w:rPr>
          <w:rFonts w:ascii="PT Astra Serif" w:hAnsi="PT Astra Serif" w:cs="Arial"/>
          <w:sz w:val="28"/>
          <w:szCs w:val="28"/>
        </w:rPr>
        <w:t>, и (или) на установку газоиспользующего оборудования, и (или) на строительство либо реконструкцию внутреннего газопровода домовладения, и (или) на установку прибора учета газа, и (или) на поставку (приобретение) газоиспользующего оборудования, и (или) на поставку (приобретение) прибора учета газа, но не более 100 000 рублей на многодетную семью;</w:t>
      </w:r>
    </w:p>
    <w:p w14:paraId="37E531D8"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 xml:space="preserve">8)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 среднего общего образования и в государственных профессиональных образовательных организациях по образовательным </w:t>
      </w:r>
      <w:r w:rsidRPr="007402BC">
        <w:rPr>
          <w:rFonts w:ascii="PT Astra Serif" w:hAnsi="PT Astra Serif" w:cs="Arial"/>
          <w:sz w:val="28"/>
          <w:szCs w:val="28"/>
        </w:rPr>
        <w:lastRenderedPageBreak/>
        <w:t>программам среднего профессионального образования, основным программам профессионального обучения.</w:t>
      </w:r>
    </w:p>
    <w:p w14:paraId="6EB60262"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Порядок предоставления вышеуказанных мер социальной поддержки, установлен постановлением администрации Костромской области от 08.07.2024 № 235-а «О мерах социальной поддержки многодетным семьям в Костромской области».</w:t>
      </w:r>
    </w:p>
    <w:p w14:paraId="57865E6A" w14:textId="77777777" w:rsidR="007402BC" w:rsidRPr="007402BC" w:rsidRDefault="007402BC" w:rsidP="007402BC">
      <w:pPr>
        <w:spacing w:line="225" w:lineRule="auto"/>
        <w:ind w:firstLine="709"/>
        <w:jc w:val="both"/>
        <w:rPr>
          <w:rFonts w:ascii="PT Astra Serif" w:hAnsi="PT Astra Serif" w:cs="Arial"/>
          <w:sz w:val="28"/>
          <w:szCs w:val="28"/>
        </w:rPr>
      </w:pPr>
      <w:r w:rsidRPr="007402BC">
        <w:rPr>
          <w:rFonts w:ascii="PT Astra Serif" w:hAnsi="PT Astra Serif" w:cs="Arial"/>
          <w:sz w:val="28"/>
          <w:szCs w:val="28"/>
        </w:rPr>
        <w:t>Отмечаем, что 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14:paraId="2B9B6E67" w14:textId="62C27D97" w:rsidR="00234CE0" w:rsidRDefault="00234CE0" w:rsidP="00C25430">
      <w:pPr>
        <w:suppressAutoHyphens/>
        <w:jc w:val="both"/>
        <w:outlineLvl w:val="0"/>
        <w:rPr>
          <w:rFonts w:eastAsia="SimSun"/>
          <w:lang w:eastAsia="ar-SA"/>
        </w:rPr>
      </w:pPr>
      <w:bookmarkStart w:id="3" w:name="_GoBack"/>
      <w:bookmarkEnd w:id="3"/>
    </w:p>
    <w:p w14:paraId="5A58F454" w14:textId="77777777" w:rsidR="00234CE0" w:rsidRPr="00C25430" w:rsidRDefault="00234CE0"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footerReference w:type="default" r:id="rId10"/>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03CAC" w:rsidRDefault="00C03CAC" w:rsidP="00D13D99">
      <w:pPr>
        <w:pStyle w:val="3"/>
      </w:pPr>
      <w:r>
        <w:separator/>
      </w:r>
    </w:p>
  </w:endnote>
  <w:endnote w:type="continuationSeparator" w:id="0">
    <w:p w14:paraId="7BCBA267" w14:textId="77777777" w:rsidR="00C03CAC" w:rsidRDefault="00C03CAC"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216823CB" w:rsidR="00C03CAC" w:rsidRDefault="00C03CAC"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7402BC">
      <w:rPr>
        <w:rStyle w:val="a9"/>
        <w:noProof/>
      </w:rPr>
      <w:t>1</w:t>
    </w:r>
    <w:r>
      <w:rPr>
        <w:rStyle w:val="a9"/>
      </w:rPr>
      <w:fldChar w:fldCharType="end"/>
    </w:r>
  </w:p>
  <w:p w14:paraId="6CB04F25" w14:textId="77777777" w:rsidR="00C03CAC" w:rsidRDefault="00C03CAC"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03CAC" w:rsidRDefault="00C03CAC" w:rsidP="00D13D99">
      <w:pPr>
        <w:pStyle w:val="3"/>
      </w:pPr>
      <w:r>
        <w:separator/>
      </w:r>
    </w:p>
  </w:footnote>
  <w:footnote w:type="continuationSeparator" w:id="0">
    <w:p w14:paraId="2745B8B1" w14:textId="77777777" w:rsidR="00C03CAC" w:rsidRDefault="00C03CAC"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4"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20E694"/>
    <w:multiLevelType w:val="singleLevel"/>
    <w:tmpl w:val="2420E694"/>
    <w:lvl w:ilvl="0">
      <w:start w:val="1"/>
      <w:numFmt w:val="decimal"/>
      <w:suff w:val="space"/>
      <w:lvlText w:val="%1)"/>
      <w:lvlJc w:val="left"/>
    </w:lvl>
  </w:abstractNum>
  <w:abstractNum w:abstractNumId="9"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5"/>
  </w:num>
  <w:num w:numId="3">
    <w:abstractNumId w:val="0"/>
  </w:num>
  <w:num w:numId="4">
    <w:abstractNumId w:val="1"/>
  </w:num>
  <w:num w:numId="5">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nta.ru/news/2023/11/22/putin-ob-yavil-2024-god-v-rossii-godom-s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2A19-0D3A-4D09-8567-F7C66823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719</Words>
  <Characters>5169</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5</cp:revision>
  <cp:lastPrinted>2013-10-30T13:20:00Z</cp:lastPrinted>
  <dcterms:created xsi:type="dcterms:W3CDTF">2024-07-02T11:31:00Z</dcterms:created>
  <dcterms:modified xsi:type="dcterms:W3CDTF">2024-07-11T05:22:00Z</dcterms:modified>
</cp:coreProperties>
</file>